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BF131" w14:textId="24063BCB" w:rsidR="002E2FF6" w:rsidRPr="006626E3" w:rsidRDefault="002E2FF6" w:rsidP="002E2FF6">
      <w:pPr>
        <w:tabs>
          <w:tab w:val="center" w:pos="4536"/>
          <w:tab w:val="right" w:pos="8280"/>
          <w:tab w:val="right" w:pos="9639"/>
        </w:tabs>
        <w:ind w:right="2"/>
        <w:rPr>
          <w:rFonts w:ascii="Arial" w:eastAsia="Malgun Gothic" w:hAnsi="Arial" w:cs="Arial"/>
          <w:b/>
          <w:bCs/>
          <w:lang w:eastAsia="zh-CN"/>
        </w:rPr>
      </w:pPr>
      <w:r w:rsidRPr="00435F1E">
        <w:rPr>
          <w:rFonts w:ascii="Arial" w:hAnsi="Arial" w:cs="Arial"/>
          <w:b/>
          <w:bCs/>
        </w:rPr>
        <w:t xml:space="preserve">3GPP TSG RAN WG1 </w:t>
      </w:r>
      <w:r>
        <w:rPr>
          <w:rFonts w:ascii="Arial" w:hAnsi="Arial" w:cs="Arial"/>
          <w:b/>
          <w:bCs/>
        </w:rPr>
        <w:t>#10</w:t>
      </w:r>
      <w:r w:rsidR="00AA0FDC">
        <w:rPr>
          <w:rFonts w:ascii="Arial" w:hAnsi="Arial" w:cs="Arial"/>
          <w:b/>
          <w:bCs/>
        </w:rPr>
        <w:t>3-e</w:t>
      </w:r>
      <w:r w:rsidRPr="00435F1E">
        <w:rPr>
          <w:rFonts w:ascii="Arial" w:hAnsi="Arial" w:cs="Arial"/>
          <w:b/>
          <w:bCs/>
        </w:rPr>
        <w:tab/>
      </w:r>
      <w:r w:rsidRPr="00435F1E">
        <w:rPr>
          <w:rFonts w:ascii="Arial" w:hAnsi="Arial" w:cs="Arial"/>
          <w:b/>
          <w:bCs/>
        </w:rPr>
        <w:tab/>
      </w:r>
      <w:r>
        <w:rPr>
          <w:rFonts w:ascii="Arial" w:hAnsi="Arial" w:cs="Arial"/>
          <w:b/>
          <w:bCs/>
        </w:rPr>
        <w:tab/>
      </w:r>
      <w:r w:rsidR="006626E3" w:rsidRPr="006626E3">
        <w:rPr>
          <w:rFonts w:ascii="Arial" w:eastAsia="Malgun Gothic" w:hAnsi="Arial" w:cs="Arial"/>
          <w:b/>
          <w:bCs/>
          <w:lang w:eastAsia="zh-CN"/>
        </w:rPr>
        <w:t>R1-2009768</w:t>
      </w:r>
    </w:p>
    <w:p w14:paraId="6146133E" w14:textId="77777777" w:rsidR="00AA0FDC" w:rsidRPr="00AA0FDC" w:rsidRDefault="00AA0FDC" w:rsidP="00AA0FDC">
      <w:pPr>
        <w:tabs>
          <w:tab w:val="center" w:pos="4536"/>
          <w:tab w:val="right" w:pos="9072"/>
        </w:tabs>
        <w:rPr>
          <w:rFonts w:ascii="Arial" w:eastAsia="MS Mincho" w:hAnsi="Arial" w:cs="Arial"/>
          <w:b/>
          <w:bCs/>
          <w:lang w:val="en-GB" w:eastAsia="ja-JP"/>
        </w:rPr>
      </w:pPr>
      <w:r w:rsidRPr="00AA0FDC">
        <w:rPr>
          <w:rFonts w:ascii="Arial" w:eastAsia="MS Mincho" w:hAnsi="Arial" w:cs="Arial"/>
          <w:b/>
          <w:bCs/>
          <w:lang w:val="en-GB" w:eastAsia="ja-JP"/>
        </w:rPr>
        <w:t>e-Meeting, October 26</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xml:space="preserve"> – November 13</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2020</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77C42ECD"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16446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106CA014" w:rsidR="002E2FF6" w:rsidRDefault="002E2FF6" w:rsidP="002E2FF6">
      <w:pPr>
        <w:pStyle w:val="3GPPHeader"/>
        <w:rPr>
          <w:sz w:val="22"/>
          <w:szCs w:val="22"/>
        </w:rPr>
      </w:pPr>
      <w:r w:rsidRPr="00315C6E">
        <w:rPr>
          <w:sz w:val="22"/>
          <w:szCs w:val="22"/>
        </w:rPr>
        <w:t>Title:</w:t>
      </w:r>
      <w:r w:rsidRPr="00315C6E">
        <w:rPr>
          <w:sz w:val="22"/>
          <w:szCs w:val="22"/>
        </w:rPr>
        <w:tab/>
      </w:r>
      <w:r w:rsidR="004006B3" w:rsidRPr="006A115E">
        <w:rPr>
          <w:sz w:val="22"/>
          <w:szCs w:val="22"/>
        </w:rPr>
        <w:t>Discussion on CSI feedback enhancements for URLLC/</w:t>
      </w:r>
      <w:proofErr w:type="spellStart"/>
      <w:r w:rsidR="004006B3" w:rsidRPr="006A115E">
        <w:rPr>
          <w:sz w:val="22"/>
          <w:szCs w:val="22"/>
        </w:rPr>
        <w:t>IIoT</w:t>
      </w:r>
      <w:proofErr w:type="spellEnd"/>
    </w:p>
    <w:p w14:paraId="5BB37A46" w14:textId="77777777" w:rsidR="002E2FF6"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31D7F03A" w:rsidR="002E2FF6" w:rsidRDefault="002E2FF6" w:rsidP="002E2FF6">
      <w:pPr>
        <w:pStyle w:val="Heading1"/>
      </w:pPr>
      <w:r w:rsidRPr="00315C6E">
        <w:t>Introduction</w:t>
      </w:r>
    </w:p>
    <w:p w14:paraId="73F68584" w14:textId="216A391F" w:rsidR="002E2FF6" w:rsidRPr="009C4D26" w:rsidRDefault="009C4D26" w:rsidP="002E2FF6">
      <w:pPr>
        <w:rPr>
          <w:sz w:val="20"/>
          <w:szCs w:val="20"/>
        </w:rPr>
      </w:pPr>
      <w:r w:rsidRPr="009C4D26">
        <w:rPr>
          <w:sz w:val="20"/>
          <w:szCs w:val="20"/>
        </w:rPr>
        <w:t xml:space="preserve">At RAN1 </w:t>
      </w:r>
      <w:r>
        <w:rPr>
          <w:sz w:val="20"/>
          <w:szCs w:val="20"/>
        </w:rPr>
        <w:t>#102-e, the following was agreed:</w:t>
      </w:r>
    </w:p>
    <w:p w14:paraId="4AC35BBA" w14:textId="77777777" w:rsidR="009C4D26" w:rsidRPr="009C4D26" w:rsidRDefault="009C4D26" w:rsidP="009C4D26">
      <w:pPr>
        <w:rPr>
          <w:sz w:val="20"/>
          <w:szCs w:val="20"/>
        </w:rPr>
      </w:pPr>
      <w:r w:rsidRPr="009C4D26">
        <w:rPr>
          <w:sz w:val="20"/>
          <w:szCs w:val="20"/>
          <w:highlight w:val="green"/>
        </w:rPr>
        <w:t>Agreements</w:t>
      </w:r>
      <w:r w:rsidRPr="009C4D26">
        <w:rPr>
          <w:sz w:val="20"/>
          <w:szCs w:val="20"/>
        </w:rPr>
        <w:t>:</w:t>
      </w:r>
    </w:p>
    <w:p w14:paraId="43A2CFD4" w14:textId="77777777" w:rsidR="009C4D26" w:rsidRPr="009C4D26" w:rsidRDefault="009C4D26" w:rsidP="009C4D26">
      <w:pPr>
        <w:numPr>
          <w:ilvl w:val="0"/>
          <w:numId w:val="10"/>
        </w:numPr>
        <w:rPr>
          <w:sz w:val="20"/>
          <w:szCs w:val="20"/>
        </w:rPr>
      </w:pPr>
      <w:r w:rsidRPr="009C4D26">
        <w:rPr>
          <w:sz w:val="20"/>
          <w:szCs w:val="20"/>
        </w:rPr>
        <w:t>Study/evaluate further on following CSI enhancement schemes in terms of technical benefit, specification and implementation impacts.</w:t>
      </w:r>
    </w:p>
    <w:p w14:paraId="580BC903" w14:textId="77777777" w:rsidR="009C4D26" w:rsidRPr="009C4D26" w:rsidRDefault="009C4D26" w:rsidP="009C4D26">
      <w:pPr>
        <w:numPr>
          <w:ilvl w:val="1"/>
          <w:numId w:val="10"/>
        </w:numPr>
        <w:rPr>
          <w:sz w:val="20"/>
          <w:szCs w:val="20"/>
        </w:rPr>
      </w:pPr>
      <w:r w:rsidRPr="009C4D26">
        <w:rPr>
          <w:sz w:val="20"/>
          <w:szCs w:val="20"/>
        </w:rPr>
        <w:t>New triggering methods for A-CSI and/or SRS</w:t>
      </w:r>
    </w:p>
    <w:p w14:paraId="572B5F7D" w14:textId="77777777" w:rsidR="009C4D26" w:rsidRPr="009C4D26" w:rsidRDefault="009C4D26" w:rsidP="009C4D26">
      <w:pPr>
        <w:numPr>
          <w:ilvl w:val="1"/>
          <w:numId w:val="10"/>
        </w:numPr>
        <w:rPr>
          <w:sz w:val="20"/>
          <w:szCs w:val="20"/>
        </w:rPr>
      </w:pPr>
      <w:r w:rsidRPr="009C4D26">
        <w:rPr>
          <w:sz w:val="20"/>
          <w:szCs w:val="20"/>
        </w:rPr>
        <w:t>New reporting based on one or more of the following:</w:t>
      </w:r>
    </w:p>
    <w:p w14:paraId="35FB31BA" w14:textId="77777777" w:rsidR="009C4D26" w:rsidRPr="009C4D26" w:rsidRDefault="009C4D26" w:rsidP="009C4D26">
      <w:pPr>
        <w:numPr>
          <w:ilvl w:val="2"/>
          <w:numId w:val="10"/>
        </w:numPr>
        <w:rPr>
          <w:sz w:val="20"/>
          <w:szCs w:val="20"/>
        </w:rPr>
      </w:pPr>
      <w:r w:rsidRPr="009C4D26">
        <w:rPr>
          <w:sz w:val="20"/>
          <w:szCs w:val="20"/>
        </w:rPr>
        <w:t>Case 1: channel/interference measurement for new CSI reporting, considering aspects such as one or more of the following:</w:t>
      </w:r>
    </w:p>
    <w:p w14:paraId="00AF74F5" w14:textId="77777777" w:rsidR="009C4D26" w:rsidRPr="009C4D26" w:rsidRDefault="009C4D26" w:rsidP="009C4D26">
      <w:pPr>
        <w:numPr>
          <w:ilvl w:val="3"/>
          <w:numId w:val="10"/>
        </w:numPr>
        <w:rPr>
          <w:sz w:val="20"/>
          <w:szCs w:val="20"/>
        </w:rPr>
      </w:pPr>
      <w:r w:rsidRPr="009C4D26">
        <w:rPr>
          <w:sz w:val="20"/>
          <w:szCs w:val="20"/>
        </w:rPr>
        <w:t>Reporting more accurate interference characteristics</w:t>
      </w:r>
    </w:p>
    <w:p w14:paraId="662679F3" w14:textId="77777777" w:rsidR="009C4D26" w:rsidRPr="009C4D26" w:rsidRDefault="009C4D26" w:rsidP="009C4D26">
      <w:pPr>
        <w:numPr>
          <w:ilvl w:val="3"/>
          <w:numId w:val="10"/>
        </w:numPr>
        <w:rPr>
          <w:sz w:val="20"/>
          <w:szCs w:val="20"/>
        </w:rPr>
      </w:pPr>
      <w:r w:rsidRPr="009C4D26">
        <w:rPr>
          <w:sz w:val="20"/>
          <w:szCs w:val="20"/>
        </w:rPr>
        <w:t>Reduced CSI feedback overhead (e.g., reporting interference measurement only)</w:t>
      </w:r>
    </w:p>
    <w:p w14:paraId="6D2139CA" w14:textId="77777777" w:rsidR="009C4D26" w:rsidRPr="009C4D26" w:rsidRDefault="009C4D26" w:rsidP="009C4D26">
      <w:pPr>
        <w:numPr>
          <w:ilvl w:val="3"/>
          <w:numId w:val="10"/>
        </w:numPr>
        <w:rPr>
          <w:sz w:val="20"/>
          <w:szCs w:val="20"/>
        </w:rPr>
      </w:pPr>
      <w:r w:rsidRPr="009C4D26">
        <w:rPr>
          <w:sz w:val="20"/>
          <w:szCs w:val="20"/>
        </w:rPr>
        <w:t>Enhanced CSI reporting such as WB/SB CQI</w:t>
      </w:r>
    </w:p>
    <w:p w14:paraId="2EB2EFDF" w14:textId="77777777" w:rsidR="009C4D26" w:rsidRPr="009C4D26" w:rsidRDefault="009C4D26" w:rsidP="009C4D26">
      <w:pPr>
        <w:numPr>
          <w:ilvl w:val="2"/>
          <w:numId w:val="10"/>
        </w:numPr>
        <w:rPr>
          <w:sz w:val="20"/>
          <w:szCs w:val="20"/>
        </w:rPr>
      </w:pPr>
      <w:r w:rsidRPr="009C4D26">
        <w:rPr>
          <w:sz w:val="20"/>
          <w:szCs w:val="20"/>
        </w:rPr>
        <w:t>Case 2: other measurement (other than channel/interference) for additional information</w:t>
      </w:r>
    </w:p>
    <w:p w14:paraId="21A910A9" w14:textId="77777777" w:rsidR="009C4D26" w:rsidRPr="009C4D26" w:rsidRDefault="009C4D26" w:rsidP="009C4D26">
      <w:pPr>
        <w:numPr>
          <w:ilvl w:val="3"/>
          <w:numId w:val="10"/>
        </w:numPr>
        <w:rPr>
          <w:sz w:val="20"/>
          <w:szCs w:val="20"/>
        </w:rPr>
      </w:pPr>
      <w:r w:rsidRPr="009C4D26">
        <w:rPr>
          <w:sz w:val="20"/>
          <w:szCs w:val="20"/>
        </w:rPr>
        <w:t>E.g., PDCCH/PDSCH decoding, recommended HARQ RV sequence, etc.</w:t>
      </w:r>
    </w:p>
    <w:p w14:paraId="6DF0E448" w14:textId="77777777" w:rsidR="009C4D26" w:rsidRPr="009C4D26" w:rsidRDefault="009C4D26" w:rsidP="009C4D26">
      <w:pPr>
        <w:numPr>
          <w:ilvl w:val="2"/>
          <w:numId w:val="10"/>
        </w:numPr>
        <w:rPr>
          <w:sz w:val="20"/>
          <w:szCs w:val="20"/>
        </w:rPr>
      </w:pPr>
      <w:r w:rsidRPr="009C4D26">
        <w:rPr>
          <w:sz w:val="20"/>
          <w:szCs w:val="20"/>
        </w:rPr>
        <w:t xml:space="preserve">It targets to help </w:t>
      </w:r>
      <w:proofErr w:type="spellStart"/>
      <w:r w:rsidRPr="009C4D26">
        <w:rPr>
          <w:sz w:val="20"/>
          <w:szCs w:val="20"/>
        </w:rPr>
        <w:t>gNB</w:t>
      </w:r>
      <w:proofErr w:type="spellEnd"/>
      <w:r w:rsidRPr="009C4D26">
        <w:rPr>
          <w:sz w:val="20"/>
          <w:szCs w:val="20"/>
        </w:rPr>
        <w:t xml:space="preserve"> scheduler for better link adaptation of (re)transmission </w:t>
      </w:r>
    </w:p>
    <w:p w14:paraId="4D728389" w14:textId="77777777" w:rsidR="009C4D26" w:rsidRPr="009C4D26" w:rsidRDefault="009C4D26" w:rsidP="009C4D26">
      <w:pPr>
        <w:numPr>
          <w:ilvl w:val="1"/>
          <w:numId w:val="10"/>
        </w:numPr>
        <w:rPr>
          <w:sz w:val="20"/>
          <w:szCs w:val="20"/>
        </w:rPr>
      </w:pPr>
      <w:r w:rsidRPr="009C4D26">
        <w:rPr>
          <w:sz w:val="20"/>
          <w:szCs w:val="20"/>
        </w:rPr>
        <w:t>[Reduced CSI computation time/complexity]</w:t>
      </w:r>
    </w:p>
    <w:p w14:paraId="3D2CEF78" w14:textId="77777777" w:rsidR="009C4D26" w:rsidRPr="009C4D26" w:rsidRDefault="009C4D26" w:rsidP="009C4D26">
      <w:pPr>
        <w:numPr>
          <w:ilvl w:val="1"/>
          <w:numId w:val="10"/>
        </w:numPr>
        <w:rPr>
          <w:sz w:val="20"/>
          <w:szCs w:val="20"/>
        </w:rPr>
      </w:pPr>
      <w:r w:rsidRPr="009C4D26">
        <w:rPr>
          <w:sz w:val="20"/>
          <w:szCs w:val="20"/>
        </w:rPr>
        <w:t>[CSI feedback for PDCCH]  </w:t>
      </w:r>
    </w:p>
    <w:p w14:paraId="7FEB9A1E" w14:textId="77777777" w:rsidR="009C4D26" w:rsidRPr="009C4D26" w:rsidRDefault="009C4D26" w:rsidP="009C4D26">
      <w:pPr>
        <w:numPr>
          <w:ilvl w:val="1"/>
          <w:numId w:val="10"/>
        </w:numPr>
        <w:rPr>
          <w:sz w:val="20"/>
          <w:szCs w:val="20"/>
        </w:rPr>
      </w:pPr>
      <w:r w:rsidRPr="009C4D26">
        <w:rPr>
          <w:sz w:val="20"/>
          <w:szCs w:val="20"/>
        </w:rPr>
        <w:t>Other CSI enhancement schemes that enable accurate MCS selection are not precluded</w:t>
      </w:r>
    </w:p>
    <w:p w14:paraId="0C8474B3" w14:textId="77777777" w:rsidR="009C4D26" w:rsidRPr="009C4D26" w:rsidRDefault="009C4D26" w:rsidP="009C4D26">
      <w:pPr>
        <w:numPr>
          <w:ilvl w:val="0"/>
          <w:numId w:val="10"/>
        </w:numPr>
        <w:rPr>
          <w:sz w:val="20"/>
          <w:szCs w:val="20"/>
        </w:rPr>
      </w:pPr>
      <w:r w:rsidRPr="009C4D26">
        <w:rPr>
          <w:sz w:val="20"/>
          <w:szCs w:val="20"/>
        </w:rPr>
        <w:t>Detailed assumptions of the proposed CSI enhancement schemes should be provided by the proponent, such as</w:t>
      </w:r>
    </w:p>
    <w:p w14:paraId="507DBDFC" w14:textId="77777777" w:rsidR="009C4D26" w:rsidRPr="009C4D26" w:rsidRDefault="009C4D26" w:rsidP="009C4D26">
      <w:pPr>
        <w:numPr>
          <w:ilvl w:val="1"/>
          <w:numId w:val="10"/>
        </w:numPr>
        <w:rPr>
          <w:sz w:val="20"/>
          <w:szCs w:val="20"/>
        </w:rPr>
      </w:pPr>
      <w:r w:rsidRPr="009C4D26">
        <w:rPr>
          <w:sz w:val="20"/>
          <w:szCs w:val="20"/>
        </w:rPr>
        <w:t>Reporting values</w:t>
      </w:r>
    </w:p>
    <w:p w14:paraId="02EE46EA" w14:textId="77777777" w:rsidR="009C4D26" w:rsidRPr="009C4D26" w:rsidRDefault="009C4D26" w:rsidP="009C4D26">
      <w:pPr>
        <w:numPr>
          <w:ilvl w:val="1"/>
          <w:numId w:val="10"/>
        </w:numPr>
        <w:rPr>
          <w:sz w:val="20"/>
          <w:szCs w:val="20"/>
        </w:rPr>
      </w:pPr>
      <w:r w:rsidRPr="009C4D26">
        <w:rPr>
          <w:sz w:val="20"/>
          <w:szCs w:val="20"/>
        </w:rPr>
        <w:t>Triggering conditions for the reporting</w:t>
      </w:r>
    </w:p>
    <w:p w14:paraId="0A2334BC" w14:textId="77777777" w:rsidR="009C4D26" w:rsidRPr="009C4D26" w:rsidRDefault="009C4D26" w:rsidP="009C4D26">
      <w:pPr>
        <w:numPr>
          <w:ilvl w:val="1"/>
          <w:numId w:val="10"/>
        </w:numPr>
        <w:rPr>
          <w:sz w:val="20"/>
          <w:szCs w:val="20"/>
        </w:rPr>
      </w:pPr>
      <w:r w:rsidRPr="009C4D26">
        <w:rPr>
          <w:sz w:val="20"/>
          <w:szCs w:val="20"/>
        </w:rPr>
        <w:t>Associated measurement resource</w:t>
      </w:r>
    </w:p>
    <w:p w14:paraId="03AACCD8" w14:textId="77777777" w:rsidR="009C4D26" w:rsidRPr="009C4D26" w:rsidRDefault="009C4D26" w:rsidP="009C4D26">
      <w:pPr>
        <w:numPr>
          <w:ilvl w:val="1"/>
          <w:numId w:val="10"/>
        </w:numPr>
        <w:rPr>
          <w:sz w:val="20"/>
          <w:szCs w:val="20"/>
        </w:rPr>
      </w:pPr>
      <w:r w:rsidRPr="009C4D26">
        <w:rPr>
          <w:sz w:val="20"/>
          <w:szCs w:val="20"/>
        </w:rPr>
        <w:t>Uplink resource to be used for the reporting</w:t>
      </w:r>
    </w:p>
    <w:p w14:paraId="4A813BF2" w14:textId="77777777" w:rsidR="009C4D26" w:rsidRPr="009C4D26" w:rsidRDefault="009C4D26" w:rsidP="009C4D26">
      <w:pPr>
        <w:numPr>
          <w:ilvl w:val="1"/>
          <w:numId w:val="10"/>
        </w:numPr>
        <w:rPr>
          <w:sz w:val="20"/>
          <w:szCs w:val="20"/>
        </w:rPr>
      </w:pPr>
      <w:r w:rsidRPr="009C4D26">
        <w:rPr>
          <w:sz w:val="20"/>
          <w:szCs w:val="20"/>
        </w:rPr>
        <w:t xml:space="preserve">How to use the reported information at the </w:t>
      </w:r>
      <w:proofErr w:type="spellStart"/>
      <w:r w:rsidRPr="009C4D26">
        <w:rPr>
          <w:sz w:val="20"/>
          <w:szCs w:val="20"/>
        </w:rPr>
        <w:t>gNB</w:t>
      </w:r>
      <w:proofErr w:type="spellEnd"/>
      <w:r w:rsidRPr="009C4D26">
        <w:rPr>
          <w:sz w:val="20"/>
          <w:szCs w:val="20"/>
        </w:rPr>
        <w:t xml:space="preserve"> scheduler</w:t>
      </w:r>
    </w:p>
    <w:p w14:paraId="5AE59A6B" w14:textId="77777777" w:rsidR="009C4D26" w:rsidRPr="009C4D26" w:rsidRDefault="009C4D26" w:rsidP="009C4D26">
      <w:pPr>
        <w:numPr>
          <w:ilvl w:val="1"/>
          <w:numId w:val="10"/>
        </w:numPr>
        <w:rPr>
          <w:sz w:val="20"/>
          <w:szCs w:val="20"/>
        </w:rPr>
      </w:pPr>
      <w:r w:rsidRPr="009C4D26">
        <w:rPr>
          <w:sz w:val="20"/>
          <w:szCs w:val="20"/>
        </w:rPr>
        <w:t>CSI-RS overhead and CSI reporting frequency </w:t>
      </w:r>
    </w:p>
    <w:p w14:paraId="3561D636" w14:textId="77777777" w:rsidR="009C4D26" w:rsidRPr="009C4D26" w:rsidRDefault="009C4D26" w:rsidP="009C4D26">
      <w:pPr>
        <w:numPr>
          <w:ilvl w:val="1"/>
          <w:numId w:val="10"/>
        </w:numPr>
        <w:rPr>
          <w:sz w:val="20"/>
          <w:szCs w:val="20"/>
        </w:rPr>
      </w:pPr>
      <w:r w:rsidRPr="009C4D26">
        <w:rPr>
          <w:sz w:val="20"/>
          <w:szCs w:val="20"/>
        </w:rPr>
        <w:t>CSI reporting latency/timeline</w:t>
      </w:r>
    </w:p>
    <w:p w14:paraId="05639935" w14:textId="77777777" w:rsidR="009C4D26" w:rsidRPr="009C4D26" w:rsidRDefault="009C4D26" w:rsidP="009C4D26">
      <w:pPr>
        <w:numPr>
          <w:ilvl w:val="1"/>
          <w:numId w:val="10"/>
        </w:numPr>
        <w:rPr>
          <w:sz w:val="20"/>
          <w:szCs w:val="20"/>
        </w:rPr>
      </w:pPr>
      <w:r w:rsidRPr="009C4D26">
        <w:rPr>
          <w:sz w:val="20"/>
          <w:szCs w:val="20"/>
        </w:rPr>
        <w:t>Etc.</w:t>
      </w:r>
    </w:p>
    <w:p w14:paraId="64F80F4A" w14:textId="77777777" w:rsidR="002E2FF6" w:rsidRPr="00C74BBC" w:rsidRDefault="002E2FF6" w:rsidP="002E2FF6">
      <w:pPr>
        <w:rPr>
          <w:sz w:val="20"/>
          <w:szCs w:val="20"/>
        </w:rPr>
      </w:pPr>
    </w:p>
    <w:p w14:paraId="1B6F6D04" w14:textId="77777777" w:rsidR="002E2FF6" w:rsidRPr="00EC5CEC" w:rsidRDefault="002E2FF6" w:rsidP="002E2FF6">
      <w:r w:rsidRPr="00C74BBC">
        <w:rPr>
          <w:sz w:val="20"/>
          <w:szCs w:val="20"/>
        </w:rPr>
        <w:t>In this contribution we provide our initial views on those enhancements.</w:t>
      </w:r>
      <w:r>
        <w:rPr>
          <w:sz w:val="20"/>
          <w:szCs w:val="20"/>
        </w:rPr>
        <w:t xml:space="preserve"> </w:t>
      </w:r>
    </w:p>
    <w:p w14:paraId="0B0BB893" w14:textId="28C94F4E" w:rsidR="002E2FF6" w:rsidRDefault="002E2FF6" w:rsidP="00272617">
      <w:pPr>
        <w:pStyle w:val="Heading1"/>
      </w:pPr>
      <w:r>
        <w:t xml:space="preserve">Discussion on </w:t>
      </w:r>
      <w:r w:rsidR="009C4D26">
        <w:t>new reporting type</w:t>
      </w:r>
    </w:p>
    <w:p w14:paraId="5BB48F5B" w14:textId="77777777" w:rsidR="002E2FF6" w:rsidRPr="00AB14C3" w:rsidRDefault="002E2FF6" w:rsidP="002E2FF6">
      <w:pPr>
        <w:rPr>
          <w:rFonts w:eastAsiaTheme="minorEastAsia"/>
          <w:sz w:val="20"/>
          <w:szCs w:val="20"/>
        </w:rPr>
      </w:pPr>
      <w:r w:rsidRPr="00AB14C3">
        <w:rPr>
          <w:sz w:val="20"/>
          <w:szCs w:val="20"/>
        </w:rPr>
        <w:t>During the study item stage of URLLC/</w:t>
      </w:r>
      <w:proofErr w:type="spellStart"/>
      <w:r w:rsidRPr="00AB14C3">
        <w:rPr>
          <w:sz w:val="20"/>
          <w:szCs w:val="20"/>
        </w:rPr>
        <w:t>IIoT</w:t>
      </w:r>
      <w:proofErr w:type="spellEnd"/>
      <w:r w:rsidRPr="00AB14C3">
        <w:rPr>
          <w:sz w:val="20"/>
          <w:szCs w:val="20"/>
        </w:rPr>
        <w:t xml:space="preserve"> of Rel-16, the processing timeline for URLLC/</w:t>
      </w:r>
      <w:proofErr w:type="spellStart"/>
      <w:r w:rsidRPr="00AB14C3">
        <w:rPr>
          <w:sz w:val="20"/>
          <w:szCs w:val="20"/>
        </w:rPr>
        <w:t>IIoT</w:t>
      </w:r>
      <w:proofErr w:type="spellEnd"/>
      <w:r w:rsidRPr="00AB14C3">
        <w:rPr>
          <w:sz w:val="20"/>
          <w:szCs w:val="20"/>
        </w:rPr>
        <w:t xml:space="preserve"> was studied by companies and the evaluation has been captured in TR 38.824.  To support URLLC/</w:t>
      </w:r>
      <w:proofErr w:type="spellStart"/>
      <w:r w:rsidRPr="00AB14C3">
        <w:rPr>
          <w:sz w:val="20"/>
          <w:szCs w:val="20"/>
        </w:rPr>
        <w:t>IIloT</w:t>
      </w:r>
      <w:proofErr w:type="spellEnd"/>
      <w:r w:rsidRPr="00AB14C3">
        <w:rPr>
          <w:sz w:val="20"/>
          <w:szCs w:val="20"/>
        </w:rPr>
        <w:t xml:space="preserve"> with stringent latency requirement, in one approach, the network can choose the MCS level conservatively, and ensure there is a high probability that a UE receives a single transmission and decodes transmitted data packet successfully. With that transmission approach, the number of UEs which can be supported in a network can be rather small, as each of them consumes considerable resource accompanying with the low MCS level assignment, which translates into low system spectral efficiency of the network. Given spectrum can be rather scarce, serving a small number of UEs while meeting URLLC’s latency &amp; reliability requirements may not be a</w:t>
      </w:r>
      <w:r>
        <w:rPr>
          <w:sz w:val="20"/>
          <w:szCs w:val="20"/>
        </w:rPr>
        <w:t>n</w:t>
      </w:r>
      <w:r w:rsidRPr="00AB14C3">
        <w:rPr>
          <w:sz w:val="20"/>
          <w:szCs w:val="20"/>
        </w:rPr>
        <w:t xml:space="preserve"> economically viable solution.  In another approach, the network may not choose the MCS level conservatively for the first transmission</w:t>
      </w:r>
      <w:r>
        <w:rPr>
          <w:sz w:val="20"/>
          <w:szCs w:val="20"/>
        </w:rPr>
        <w:t>.</w:t>
      </w:r>
      <w:r w:rsidRPr="00AB14C3">
        <w:rPr>
          <w:sz w:val="20"/>
          <w:szCs w:val="20"/>
        </w:rPr>
        <w:t xml:space="preserve"> </w:t>
      </w:r>
      <w:r>
        <w:rPr>
          <w:sz w:val="20"/>
          <w:szCs w:val="20"/>
        </w:rPr>
        <w:t>F</w:t>
      </w:r>
      <w:r w:rsidRPr="00AB14C3">
        <w:rPr>
          <w:sz w:val="20"/>
          <w:szCs w:val="20"/>
        </w:rPr>
        <w:t>or example</w:t>
      </w:r>
      <w:r>
        <w:rPr>
          <w:sz w:val="20"/>
          <w:szCs w:val="20"/>
        </w:rPr>
        <w:t>,</w:t>
      </w:r>
      <w:r w:rsidRPr="00AB14C3">
        <w:rPr>
          <w:sz w:val="20"/>
          <w:szCs w:val="20"/>
        </w:rPr>
        <w:t xml:space="preserve"> targeting a block error rate at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 xml:space="preserve">instead of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then for most cases, with a not small probability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-1</m:t>
            </m:r>
          </m:sup>
        </m:sSup>
        <m:r>
          <m:rPr>
            <m:sty m:val="p"/>
          </m:rPr>
          <w:rPr>
            <w:rFonts w:ascii="Cambria Math" w:hAnsi="Cambria Math"/>
            <w:sz w:val="20"/>
            <w:szCs w:val="20"/>
          </w:rPr>
          <m:t xml:space="preserve">) </m:t>
        </m:r>
      </m:oMath>
      <w:r w:rsidRPr="00AB14C3">
        <w:rPr>
          <w:rFonts w:eastAsiaTheme="minorEastAsia"/>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(1-10</m:t>
            </m:r>
          </m:e>
          <m:sup>
            <m:r>
              <m:rPr>
                <m:sty m:val="p"/>
              </m:rPr>
              <w:rPr>
                <w:rFonts w:ascii="Cambria Math" w:hAnsi="Cambria Math"/>
                <w:sz w:val="20"/>
                <w:szCs w:val="20"/>
              </w:rPr>
              <m:t>-2</m:t>
            </m:r>
          </m:sup>
        </m:sSup>
        <m:r>
          <m:rPr>
            <m:sty m:val="p"/>
          </m:rPr>
          <w:rPr>
            <w:rFonts w:ascii="Cambria Math" w:hAnsi="Cambria Math"/>
            <w:sz w:val="20"/>
            <w:szCs w:val="20"/>
          </w:rPr>
          <m:t xml:space="preserve">), </m:t>
        </m:r>
      </m:oMath>
      <w:r w:rsidRPr="00AB14C3">
        <w:rPr>
          <w:sz w:val="20"/>
          <w:szCs w:val="20"/>
        </w:rPr>
        <w:t>the first transmission of a transport block leads to its successful decoding at a UE; then only for the fractional cases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-1</m:t>
            </m:r>
          </m:sup>
        </m:sSup>
        <m:r>
          <m:rPr>
            <m:sty m:val="p"/>
          </m:rPr>
          <w:rPr>
            <w:rFonts w:ascii="Cambria Math" w:hAnsi="Cambria Math"/>
            <w:sz w:val="20"/>
            <w:szCs w:val="20"/>
          </w:rPr>
          <m:t xml:space="preserve"> </m:t>
        </m:r>
        <m:d>
          <m:dPr>
            <m:ctrlPr>
              <w:rPr>
                <w:rFonts w:ascii="Cambria Math" w:hAnsi="Cambria Math"/>
                <w:sz w:val="20"/>
                <w:szCs w:val="20"/>
              </w:rPr>
            </m:ctrlPr>
          </m:dPr>
          <m:e>
            <m:r>
              <m:rPr>
                <m:sty m:val="p"/>
              </m:rPr>
              <w:rPr>
                <w:rFonts w:ascii="Cambria Math" w:hAnsi="Cambria Math"/>
                <w:sz w:val="20"/>
                <w:szCs w:val="20"/>
              </w:rPr>
              <m:t>10%</m:t>
            </m:r>
          </m:e>
        </m:d>
        <m:r>
          <m:rPr>
            <m:sty m:val="p"/>
          </m:rPr>
          <w:rPr>
            <w:rFonts w:ascii="Cambria Math" w:hAnsi="Cambria Math"/>
            <w:sz w:val="20"/>
            <w:szCs w:val="20"/>
          </w:rPr>
          <m:t xml:space="preserve"> </m:t>
        </m:r>
      </m:oMath>
      <w:r w:rsidRPr="00AB14C3">
        <w:rPr>
          <w:sz w:val="20"/>
          <w:szCs w:val="20"/>
        </w:rPr>
        <w:t xml:space="preserve">or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-2</m:t>
            </m:r>
          </m:sup>
        </m:sSup>
        <m:r>
          <m:rPr>
            <m:sty m:val="p"/>
          </m:rPr>
          <w:rPr>
            <w:rFonts w:ascii="Cambria Math" w:hAnsi="Cambria Math"/>
            <w:sz w:val="20"/>
            <w:szCs w:val="20"/>
          </w:rPr>
          <m:t xml:space="preserve">(1%) </m:t>
        </m:r>
      </m:oMath>
      <w:r w:rsidRPr="00AB14C3">
        <w:rPr>
          <w:sz w:val="20"/>
          <w:szCs w:val="20"/>
        </w:rPr>
        <w:t>), HARQ retransmission is needed. For retransmission, the base station can choose a robust transmission to ensure the high reliability (</w:t>
      </w:r>
      <w:proofErr w:type="gramStart"/>
      <w:r w:rsidRPr="00AB14C3">
        <w:rPr>
          <w:sz w:val="20"/>
          <w:szCs w:val="20"/>
        </w:rPr>
        <w:t>e.g.</w:t>
      </w:r>
      <w:proofErr w:type="gramEnd"/>
      <w:r w:rsidRPr="00AB14C3">
        <w:rPr>
          <w:sz w:val="20"/>
          <w:szCs w:val="20"/>
        </w:rPr>
        <w:t xml:space="preserve"> </w:t>
      </w:r>
      <m:oMath>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-6</m:t>
            </m:r>
          </m:sup>
        </m:sSup>
      </m:oMath>
      <w:r w:rsidRPr="00AB14C3">
        <w:rPr>
          <w:rFonts w:eastAsiaTheme="minorEastAsia"/>
          <w:sz w:val="20"/>
          <w:szCs w:val="20"/>
        </w:rPr>
        <w:t xml:space="preserve"> error rate after retransmission(s)) is achieved. With the second approach, a higher system spectrum efficiency can be achieved than in the case with the first approach.</w:t>
      </w:r>
    </w:p>
    <w:p w14:paraId="38EC797D" w14:textId="77777777" w:rsidR="002E2FF6" w:rsidRPr="00AB14C3" w:rsidRDefault="002E2FF6" w:rsidP="002E2FF6">
      <w:pPr>
        <w:rPr>
          <w:rFonts w:eastAsiaTheme="minorEastAsia"/>
          <w:sz w:val="20"/>
          <w:szCs w:val="20"/>
        </w:rPr>
      </w:pPr>
    </w:p>
    <w:p w14:paraId="62FD8BAC" w14:textId="77777777" w:rsidR="002E2FF6" w:rsidRPr="00AB14C3" w:rsidRDefault="002E2FF6" w:rsidP="002E2FF6">
      <w:pPr>
        <w:rPr>
          <w:rFonts w:eastAsiaTheme="minorEastAsia"/>
          <w:sz w:val="20"/>
          <w:szCs w:val="20"/>
        </w:rPr>
      </w:pPr>
      <w:r w:rsidRPr="00AB14C3">
        <w:rPr>
          <w:rFonts w:eastAsiaTheme="minorEastAsia"/>
          <w:sz w:val="20"/>
          <w:szCs w:val="20"/>
        </w:rPr>
        <w:t>From the study item phase evaluation</w:t>
      </w:r>
      <w:r>
        <w:rPr>
          <w:rFonts w:eastAsiaTheme="minorEastAsia"/>
          <w:sz w:val="20"/>
          <w:szCs w:val="20"/>
        </w:rPr>
        <w:t>s</w:t>
      </w:r>
      <w:r w:rsidRPr="00AB14C3">
        <w:rPr>
          <w:rFonts w:eastAsiaTheme="minorEastAsia"/>
          <w:sz w:val="20"/>
          <w:szCs w:val="20"/>
        </w:rPr>
        <w:t>, it is also seen that in many cases, the second transmission (or the first retransmission) is the only chance for the network to retransmit the transport block as the latency requirement can be quite stringent (</w:t>
      </w:r>
      <w:proofErr w:type="gramStart"/>
      <w:r w:rsidRPr="00AB14C3">
        <w:rPr>
          <w:rFonts w:eastAsiaTheme="minorEastAsia"/>
          <w:sz w:val="20"/>
          <w:szCs w:val="20"/>
        </w:rPr>
        <w:t>e.g.</w:t>
      </w:r>
      <w:proofErr w:type="gramEnd"/>
      <w:r w:rsidRPr="00AB14C3">
        <w:rPr>
          <w:rFonts w:eastAsiaTheme="minorEastAsia"/>
          <w:sz w:val="20"/>
          <w:szCs w:val="20"/>
        </w:rPr>
        <w:t xml:space="preserve"> 1 millisecond). From that, how to provide useful feedback information to the network by the UE becomes a critical </w:t>
      </w:r>
      <w:r>
        <w:rPr>
          <w:rFonts w:eastAsiaTheme="minorEastAsia"/>
          <w:sz w:val="20"/>
          <w:szCs w:val="20"/>
        </w:rPr>
        <w:t>issue</w:t>
      </w:r>
      <w:r w:rsidRPr="00AB14C3">
        <w:rPr>
          <w:rFonts w:eastAsiaTheme="minorEastAsia"/>
          <w:sz w:val="20"/>
          <w:szCs w:val="20"/>
        </w:rPr>
        <w:t>.</w:t>
      </w:r>
    </w:p>
    <w:p w14:paraId="33E42877" w14:textId="77777777" w:rsidR="002E2FF6" w:rsidRPr="00AB14C3" w:rsidRDefault="002E2FF6" w:rsidP="002E2FF6">
      <w:pPr>
        <w:rPr>
          <w:rFonts w:eastAsiaTheme="minorEastAsia"/>
          <w:sz w:val="20"/>
          <w:szCs w:val="20"/>
        </w:rPr>
      </w:pPr>
    </w:p>
    <w:p w14:paraId="52F1350C" w14:textId="77777777" w:rsidR="002E2FF6" w:rsidRPr="00AB14C3" w:rsidRDefault="002E2FF6" w:rsidP="002E2FF6">
      <w:pPr>
        <w:rPr>
          <w:rFonts w:eastAsiaTheme="minorEastAsia"/>
          <w:sz w:val="20"/>
          <w:szCs w:val="20"/>
        </w:rPr>
      </w:pPr>
      <w:r w:rsidRPr="00AB14C3">
        <w:rPr>
          <w:rFonts w:eastAsiaTheme="minorEastAsia"/>
          <w:sz w:val="20"/>
          <w:szCs w:val="20"/>
        </w:rPr>
        <w:t>When reviewing the current NR framework for hybrid ARQ transmission scheme and CSI feedback framework, we identify two issues:</w:t>
      </w:r>
    </w:p>
    <w:p w14:paraId="0A8CE2B5" w14:textId="77777777" w:rsidR="002E2FF6" w:rsidRPr="00AB14C3" w:rsidRDefault="002E2FF6" w:rsidP="002E2FF6">
      <w:pPr>
        <w:rPr>
          <w:rFonts w:eastAsiaTheme="minorEastAsia"/>
          <w:sz w:val="20"/>
          <w:szCs w:val="20"/>
        </w:rPr>
      </w:pPr>
    </w:p>
    <w:p w14:paraId="59E1E8F5" w14:textId="77777777" w:rsidR="002E2FF6" w:rsidRPr="00EC5CEC" w:rsidRDefault="002E2FF6" w:rsidP="002E2FF6">
      <w:pPr>
        <w:rPr>
          <w:rFonts w:eastAsiaTheme="minorEastAsia"/>
          <w:b/>
          <w:bCs/>
          <w:sz w:val="20"/>
          <w:szCs w:val="20"/>
        </w:rPr>
      </w:pPr>
      <w:r w:rsidRPr="00EC5CEC">
        <w:rPr>
          <w:rFonts w:eastAsiaTheme="minorEastAsia"/>
          <w:b/>
          <w:bCs/>
          <w:sz w:val="20"/>
          <w:szCs w:val="20"/>
        </w:rPr>
        <w:t>Issue 1:</w:t>
      </w:r>
    </w:p>
    <w:p w14:paraId="4AB2E97A" w14:textId="77777777" w:rsidR="002E2FF6" w:rsidRPr="00AB14C3" w:rsidRDefault="002E2FF6" w:rsidP="002E2FF6">
      <w:pPr>
        <w:rPr>
          <w:rFonts w:eastAsiaTheme="minorEastAsia"/>
          <w:sz w:val="20"/>
          <w:szCs w:val="20"/>
        </w:rPr>
      </w:pPr>
    </w:p>
    <w:p w14:paraId="4CB3CB6E" w14:textId="77777777" w:rsidR="002E2FF6" w:rsidRPr="00AB14C3" w:rsidRDefault="002E2FF6" w:rsidP="002E2FF6">
      <w:pPr>
        <w:rPr>
          <w:rFonts w:eastAsiaTheme="minorEastAsia"/>
          <w:sz w:val="20"/>
          <w:szCs w:val="20"/>
        </w:rPr>
      </w:pPr>
      <w:r w:rsidRPr="00AB14C3">
        <w:rPr>
          <w:rFonts w:eastAsiaTheme="minorEastAsia"/>
          <w:sz w:val="20"/>
          <w:szCs w:val="20"/>
        </w:rPr>
        <w:t xml:space="preserve">In the conventional hybrid ARQ transmission scheme, the UE feeds back HARQ-ACK with either </w:t>
      </w:r>
      <w:r>
        <w:rPr>
          <w:rFonts w:eastAsiaTheme="minorEastAsia"/>
          <w:sz w:val="20"/>
          <w:szCs w:val="20"/>
        </w:rPr>
        <w:t xml:space="preserve">ACK </w:t>
      </w:r>
      <w:r w:rsidRPr="00AB14C3">
        <w:rPr>
          <w:rFonts w:eastAsiaTheme="minorEastAsia"/>
          <w:sz w:val="20"/>
          <w:szCs w:val="20"/>
        </w:rPr>
        <w:t>to N</w:t>
      </w:r>
      <w:r>
        <w:rPr>
          <w:rFonts w:eastAsiaTheme="minorEastAsia"/>
          <w:sz w:val="20"/>
          <w:szCs w:val="20"/>
        </w:rPr>
        <w:t>ACK</w:t>
      </w:r>
      <w:r w:rsidRPr="00AB14C3">
        <w:rPr>
          <w:rFonts w:eastAsiaTheme="minorEastAsia"/>
          <w:sz w:val="20"/>
          <w:szCs w:val="20"/>
        </w:rPr>
        <w:t xml:space="preserve"> in response to a successful or failed decoding of a transport block; the network retransmits the transport block with an additional PDSCH; and the UE tests whether it can decode the transport block successfully with the newly available soft </w:t>
      </w:r>
      <w:proofErr w:type="gramStart"/>
      <w:r w:rsidRPr="00AB14C3">
        <w:rPr>
          <w:rFonts w:eastAsiaTheme="minorEastAsia"/>
          <w:sz w:val="20"/>
          <w:szCs w:val="20"/>
        </w:rPr>
        <w:t>bits, and</w:t>
      </w:r>
      <w:proofErr w:type="gramEnd"/>
      <w:r w:rsidRPr="00AB14C3">
        <w:rPr>
          <w:rFonts w:eastAsiaTheme="minorEastAsia"/>
          <w:sz w:val="20"/>
          <w:szCs w:val="20"/>
        </w:rPr>
        <w:t xml:space="preserve"> generates another HARQ-ACK feedback as a result. The hybrid feedback retransmission scheme can take multiple rounds until the UE finally receives the transport block successfully. For an URLLC application, the network and the UE may</w:t>
      </w:r>
      <w:r>
        <w:rPr>
          <w:rFonts w:eastAsiaTheme="minorEastAsia"/>
          <w:sz w:val="20"/>
          <w:szCs w:val="20"/>
        </w:rPr>
        <w:t xml:space="preserve"> not</w:t>
      </w:r>
      <w:r w:rsidRPr="00AB14C3">
        <w:rPr>
          <w:rFonts w:eastAsiaTheme="minorEastAsia"/>
          <w:sz w:val="20"/>
          <w:szCs w:val="20"/>
        </w:rPr>
        <w:t xml:space="preserve"> have</w:t>
      </w:r>
      <w:r>
        <w:rPr>
          <w:rFonts w:eastAsiaTheme="minorEastAsia"/>
          <w:sz w:val="20"/>
          <w:szCs w:val="20"/>
        </w:rPr>
        <w:t xml:space="preserve"> the</w:t>
      </w:r>
      <w:r w:rsidRPr="00AB14C3">
        <w:rPr>
          <w:rFonts w:eastAsiaTheme="minorEastAsia"/>
          <w:sz w:val="20"/>
          <w:szCs w:val="20"/>
        </w:rPr>
        <w:t xml:space="preserve"> luxury of multiple rounds of information exchange between them, in this contribution we propose to study several options to address this issue. </w:t>
      </w:r>
    </w:p>
    <w:p w14:paraId="28901A32" w14:textId="77777777" w:rsidR="002E2FF6" w:rsidRPr="00AB14C3" w:rsidRDefault="002E2FF6" w:rsidP="002E2FF6">
      <w:pPr>
        <w:rPr>
          <w:rFonts w:eastAsiaTheme="minorEastAsia"/>
          <w:sz w:val="20"/>
          <w:szCs w:val="20"/>
        </w:rPr>
      </w:pPr>
    </w:p>
    <w:p w14:paraId="3B49C4D5" w14:textId="77777777" w:rsidR="002E2FF6" w:rsidRPr="00AB14C3" w:rsidRDefault="002E2FF6" w:rsidP="002E2FF6">
      <w:pPr>
        <w:rPr>
          <w:sz w:val="20"/>
          <w:szCs w:val="20"/>
        </w:rPr>
      </w:pPr>
      <w:r w:rsidRPr="00EC5CEC">
        <w:rPr>
          <w:b/>
          <w:bCs/>
          <w:sz w:val="20"/>
          <w:szCs w:val="20"/>
        </w:rPr>
        <w:t>Issue 2</w:t>
      </w:r>
      <w:r w:rsidRPr="00AB14C3">
        <w:rPr>
          <w:sz w:val="20"/>
          <w:szCs w:val="20"/>
        </w:rPr>
        <w:t>:</w:t>
      </w:r>
    </w:p>
    <w:p w14:paraId="181102F6" w14:textId="77777777" w:rsidR="002E2FF6" w:rsidRPr="00AB14C3" w:rsidRDefault="002E2FF6" w:rsidP="002E2FF6">
      <w:pPr>
        <w:rPr>
          <w:sz w:val="20"/>
          <w:szCs w:val="20"/>
        </w:rPr>
      </w:pPr>
    </w:p>
    <w:p w14:paraId="5FAB5A34" w14:textId="77777777" w:rsidR="002E2FF6" w:rsidRPr="00AB14C3" w:rsidRDefault="002E2FF6" w:rsidP="002E2FF6">
      <w:pPr>
        <w:rPr>
          <w:rFonts w:eastAsiaTheme="minorEastAsia"/>
          <w:sz w:val="20"/>
          <w:szCs w:val="20"/>
        </w:rPr>
      </w:pPr>
      <w:r w:rsidRPr="00AB14C3">
        <w:rPr>
          <w:rFonts w:eastAsiaTheme="minorEastAsia"/>
          <w:sz w:val="20"/>
          <w:szCs w:val="20"/>
        </w:rPr>
        <w:t xml:space="preserve">Also conventionally for CSI feedback, from measurement of the desired channel (from CMR (Channel Measurement Resource)) and interference (from ZP IMR (Zero Power Interference Measurement Resource), which is also called CSI-IM in the NR specification) and potentially structured interference from NZP IMR (None Zero Power Interference Measurement Resource), the UE generates a feedback including all or some of CQI, PMI and RI for a hypothetical transmission with a targeted block error rate over a reference resource, which inherently does not have anything to do with the ongoing URLLC transmission, the </w:t>
      </w:r>
      <w:proofErr w:type="spellStart"/>
      <w:r w:rsidRPr="00AB14C3">
        <w:rPr>
          <w:rFonts w:eastAsiaTheme="minorEastAsia"/>
          <w:sz w:val="20"/>
          <w:szCs w:val="20"/>
        </w:rPr>
        <w:t>gNB</w:t>
      </w:r>
      <w:proofErr w:type="spellEnd"/>
      <w:r w:rsidRPr="00AB14C3">
        <w:rPr>
          <w:rFonts w:eastAsiaTheme="minorEastAsia"/>
          <w:sz w:val="20"/>
          <w:szCs w:val="20"/>
        </w:rPr>
        <w:t xml:space="preserve"> cannot easily deduce actionable information from the feedback. To address the current framework’s deficiency, we also propose to study options to address this issue. </w:t>
      </w:r>
    </w:p>
    <w:p w14:paraId="4BB057A1" w14:textId="77777777" w:rsidR="002E2FF6" w:rsidRPr="00AB14C3" w:rsidRDefault="002E2FF6" w:rsidP="002E2FF6">
      <w:pPr>
        <w:rPr>
          <w:sz w:val="20"/>
          <w:szCs w:val="20"/>
        </w:rPr>
      </w:pPr>
    </w:p>
    <w:p w14:paraId="471E940E" w14:textId="77777777" w:rsidR="002E2FF6" w:rsidRDefault="002E2FF6" w:rsidP="002E2FF6">
      <w:pPr>
        <w:keepNext/>
      </w:pPr>
      <w:r w:rsidRPr="0079705D">
        <w:rPr>
          <w:rFonts w:eastAsiaTheme="minorEastAsia"/>
          <w:noProof/>
        </w:rPr>
        <w:drawing>
          <wp:inline distT="0" distB="0" distL="0" distR="0" wp14:anchorId="532D8DA1" wp14:editId="159F314F">
            <wp:extent cx="4913644" cy="4064781"/>
            <wp:effectExtent l="0" t="0" r="127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43291" cy="4089306"/>
                    </a:xfrm>
                    <a:prstGeom prst="rect">
                      <a:avLst/>
                    </a:prstGeom>
                  </pic:spPr>
                </pic:pic>
              </a:graphicData>
            </a:graphic>
          </wp:inline>
        </w:drawing>
      </w:r>
    </w:p>
    <w:p w14:paraId="7B22AB62" w14:textId="77777777" w:rsidR="002E2FF6" w:rsidRPr="00067F81" w:rsidRDefault="002E2FF6" w:rsidP="002E2FF6">
      <w:r>
        <w:t xml:space="preserve">Figure </w:t>
      </w:r>
      <w:fldSimple w:instr=" SEQ Figure \* ARABIC ">
        <w:r>
          <w:rPr>
            <w:noProof/>
          </w:rPr>
          <w:t>1</w:t>
        </w:r>
      </w:fldSimple>
      <w:r>
        <w:t xml:space="preserve"> HARQ feedback in Rel-15/Rel-16</w:t>
      </w:r>
    </w:p>
    <w:p w14:paraId="7C15C7AF" w14:textId="36ABE670" w:rsidR="002E2FF6" w:rsidRPr="00745DAD" w:rsidRDefault="002E2FF6" w:rsidP="002E2FF6">
      <w:pPr>
        <w:pStyle w:val="Heading2"/>
      </w:pPr>
      <w:r>
        <w:lastRenderedPageBreak/>
        <w:t xml:space="preserve">Discussion on </w:t>
      </w:r>
      <w:r w:rsidR="005C5920">
        <w:t>potential</w:t>
      </w:r>
      <w:r>
        <w:t xml:space="preserve"> enhancements</w:t>
      </w:r>
    </w:p>
    <w:p w14:paraId="6A9A72CB" w14:textId="70FF6680" w:rsidR="002E2FF6" w:rsidRDefault="002E2FF6" w:rsidP="002E2FF6">
      <w:pPr>
        <w:rPr>
          <w:sz w:val="20"/>
          <w:szCs w:val="20"/>
        </w:rPr>
      </w:pPr>
      <w:r w:rsidRPr="00C74BBC">
        <w:rPr>
          <w:sz w:val="20"/>
          <w:szCs w:val="20"/>
        </w:rPr>
        <w:t xml:space="preserve">In conventional hybrid ARQ scheme, as latency requirement may be more relaxed, </w:t>
      </w:r>
      <w:proofErr w:type="gramStart"/>
      <w:r w:rsidRPr="00C74BBC">
        <w:rPr>
          <w:sz w:val="20"/>
          <w:szCs w:val="20"/>
        </w:rPr>
        <w:t>e.g.</w:t>
      </w:r>
      <w:proofErr w:type="gramEnd"/>
      <w:r w:rsidRPr="00C74BBC">
        <w:rPr>
          <w:sz w:val="20"/>
          <w:szCs w:val="20"/>
        </w:rPr>
        <w:t xml:space="preserve"> for </w:t>
      </w:r>
      <w:proofErr w:type="spellStart"/>
      <w:r w:rsidRPr="00C74BBC">
        <w:rPr>
          <w:sz w:val="20"/>
          <w:szCs w:val="20"/>
        </w:rPr>
        <w:t>eMBB</w:t>
      </w:r>
      <w:proofErr w:type="spellEnd"/>
      <w:r w:rsidRPr="00C74BBC">
        <w:rPr>
          <w:sz w:val="20"/>
          <w:szCs w:val="20"/>
        </w:rPr>
        <w:t>,</w:t>
      </w:r>
      <w:r>
        <w:rPr>
          <w:sz w:val="20"/>
          <w:szCs w:val="20"/>
        </w:rPr>
        <w:t xml:space="preserve"> than for URLLC,</w:t>
      </w:r>
      <w:r w:rsidRPr="00C74BBC">
        <w:rPr>
          <w:sz w:val="20"/>
          <w:szCs w:val="20"/>
        </w:rPr>
        <w:t xml:space="preserve"> the network and the UE can afford to use parsimony of feedback information</w:t>
      </w:r>
      <w:r>
        <w:rPr>
          <w:sz w:val="20"/>
          <w:szCs w:val="20"/>
        </w:rPr>
        <w:t xml:space="preserve">: </w:t>
      </w:r>
      <w:r w:rsidRPr="00C74BBC">
        <w:rPr>
          <w:sz w:val="20"/>
          <w:szCs w:val="20"/>
        </w:rPr>
        <w:t xml:space="preserve">HARQ feedback consisting of a single feedback bit for each round of feedback, and potentially conducted over many rounds to explore and finally find the number of retransmissions needed for successful decoding.  </w:t>
      </w:r>
    </w:p>
    <w:p w14:paraId="110C1EA9" w14:textId="1900EB13" w:rsidR="001904AA" w:rsidRDefault="001904AA" w:rsidP="002E2FF6">
      <w:pPr>
        <w:rPr>
          <w:sz w:val="20"/>
          <w:szCs w:val="20"/>
        </w:rPr>
      </w:pPr>
    </w:p>
    <w:p w14:paraId="5346FBC9" w14:textId="545981D3" w:rsidR="001904AA" w:rsidRPr="00C74BBC" w:rsidRDefault="001904AA" w:rsidP="002E2FF6">
      <w:pPr>
        <w:rPr>
          <w:sz w:val="20"/>
          <w:szCs w:val="20"/>
        </w:rPr>
      </w:pPr>
      <w:r>
        <w:rPr>
          <w:sz w:val="20"/>
          <w:szCs w:val="20"/>
        </w:rPr>
        <w:t xml:space="preserve">In URLLC, reliability requirement can vary for specific services, </w:t>
      </w:r>
      <w:proofErr w:type="gramStart"/>
      <w:r>
        <w:rPr>
          <w:sz w:val="20"/>
          <w:szCs w:val="20"/>
        </w:rPr>
        <w:t>e.g.</w:t>
      </w:r>
      <w:proofErr w:type="gramEnd"/>
      <w:r>
        <w:rPr>
          <w:sz w:val="20"/>
          <w:szCs w:val="20"/>
        </w:rPr>
        <w:t xml:space="preserve"> the BLER can be at upper-bounded by 1%, 0.1% or 0.01%, etc. Even though the final BLER requirement may be at </w:t>
      </w:r>
      <m:oMath>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-6</m:t>
            </m:r>
          </m:sup>
        </m:sSup>
      </m:oMath>
      <w:r>
        <w:rPr>
          <w:sz w:val="20"/>
          <w:szCs w:val="20"/>
        </w:rPr>
        <w:t xml:space="preserve">, by no means that can be translated into a requirement for the first transmission’s BLER requirement, </w:t>
      </w:r>
      <w:proofErr w:type="gramStart"/>
      <w:r>
        <w:rPr>
          <w:sz w:val="20"/>
          <w:szCs w:val="20"/>
        </w:rPr>
        <w:t>i.e.</w:t>
      </w:r>
      <w:proofErr w:type="gramEnd"/>
      <w:r>
        <w:rPr>
          <w:sz w:val="20"/>
          <w:szCs w:val="20"/>
        </w:rPr>
        <w:t xml:space="preserve"> the first transmission’s BLER may well above </w:t>
      </w:r>
      <m:oMath>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-6</m:t>
            </m:r>
          </m:sup>
        </m:sSup>
      </m:oMath>
      <w:r>
        <w:rPr>
          <w:sz w:val="20"/>
          <w:szCs w:val="20"/>
        </w:rPr>
        <w:t xml:space="preserve">.Multiple scenarios were examined during the study item stage (Section 6.4.1.1 “latency analysis”, TR 38.824), where two transmissions were assumed for URLLC. </w:t>
      </w:r>
    </w:p>
    <w:p w14:paraId="4232B714" w14:textId="77777777" w:rsidR="002E2FF6" w:rsidRPr="00C74BBC" w:rsidRDefault="002E2FF6" w:rsidP="002E2FF6">
      <w:pPr>
        <w:rPr>
          <w:sz w:val="20"/>
          <w:szCs w:val="20"/>
        </w:rPr>
      </w:pPr>
    </w:p>
    <w:p w14:paraId="2EA6523C" w14:textId="77777777" w:rsidR="002E2FF6" w:rsidRPr="00C74BBC" w:rsidRDefault="002E2FF6" w:rsidP="002E2FF6">
      <w:pPr>
        <w:rPr>
          <w:sz w:val="20"/>
          <w:szCs w:val="20"/>
        </w:rPr>
      </w:pPr>
      <w:r w:rsidRPr="00C74BBC">
        <w:rPr>
          <w:sz w:val="20"/>
          <w:szCs w:val="20"/>
        </w:rPr>
        <w:t xml:space="preserve">In URLLC, in many cases, due to stringent latency requirement, the 2nd transmission is the only opportunity for the </w:t>
      </w:r>
      <w:proofErr w:type="spellStart"/>
      <w:r w:rsidRPr="00C74BBC">
        <w:rPr>
          <w:sz w:val="20"/>
          <w:szCs w:val="20"/>
        </w:rPr>
        <w:t>gNB</w:t>
      </w:r>
      <w:proofErr w:type="spellEnd"/>
      <w:r w:rsidRPr="00C74BBC">
        <w:rPr>
          <w:sz w:val="20"/>
          <w:szCs w:val="20"/>
        </w:rPr>
        <w:t xml:space="preserve">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w:t>
      </w:r>
      <w:proofErr w:type="spellStart"/>
      <w:r w:rsidRPr="00C74BBC">
        <w:rPr>
          <w:sz w:val="20"/>
          <w:szCs w:val="20"/>
        </w:rPr>
        <w:t>gNB</w:t>
      </w:r>
      <w:proofErr w:type="spellEnd"/>
      <w:r w:rsidRPr="00C74BBC">
        <w:rPr>
          <w:sz w:val="20"/>
          <w:szCs w:val="20"/>
        </w:rPr>
        <w:t xml:space="preserve">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Pr="00C74BBC">
        <w:rPr>
          <w:sz w:val="20"/>
          <w:szCs w:val="20"/>
        </w:rPr>
        <w:t>Also</w:t>
      </w:r>
      <w:proofErr w:type="gramEnd"/>
      <w:r>
        <w:rPr>
          <w:sz w:val="20"/>
          <w:szCs w:val="20"/>
        </w:rPr>
        <w:t xml:space="preserve"> the</w:t>
      </w:r>
      <w:r w:rsidRPr="00C74BBC">
        <w:rPr>
          <w:sz w:val="20"/>
          <w:szCs w:val="20"/>
        </w:rPr>
        <w:t xml:space="preserve"> </w:t>
      </w:r>
      <w:r>
        <w:rPr>
          <w:sz w:val="20"/>
          <w:szCs w:val="20"/>
        </w:rPr>
        <w:t xml:space="preserve">UE </w:t>
      </w:r>
      <w:r w:rsidRPr="00C74BBC">
        <w:rPr>
          <w:sz w:val="20"/>
          <w:szCs w:val="20"/>
        </w:rPr>
        <w:t xml:space="preserve">can consider the current status of the soft buffer in its feedback to the </w:t>
      </w:r>
      <w:proofErr w:type="spellStart"/>
      <w:r w:rsidRPr="00C74BBC">
        <w:rPr>
          <w:sz w:val="20"/>
          <w:szCs w:val="20"/>
        </w:rPr>
        <w:t>gN</w:t>
      </w:r>
      <w:r>
        <w:rPr>
          <w:sz w:val="20"/>
          <w:szCs w:val="20"/>
        </w:rPr>
        <w:t>B</w:t>
      </w:r>
      <w:proofErr w:type="spellEnd"/>
      <w:r>
        <w:rPr>
          <w:sz w:val="20"/>
          <w:szCs w:val="20"/>
        </w:rPr>
        <w:t>.</w:t>
      </w:r>
      <w:r w:rsidRPr="00C74BBC">
        <w:rPr>
          <w:sz w:val="20"/>
          <w:szCs w:val="20"/>
        </w:rPr>
        <w:t xml:space="preserve"> </w:t>
      </w:r>
      <w:r>
        <w:rPr>
          <w:sz w:val="20"/>
          <w:szCs w:val="20"/>
        </w:rPr>
        <w:t>We suggest considering the following scheme</w:t>
      </w:r>
      <w:r w:rsidRPr="00C74BBC">
        <w:rPr>
          <w:sz w:val="20"/>
          <w:szCs w:val="20"/>
        </w:rPr>
        <w:t>:</w:t>
      </w:r>
    </w:p>
    <w:p w14:paraId="3DAD84B7" w14:textId="77777777" w:rsidR="002E2FF6" w:rsidRPr="00C74BBC" w:rsidRDefault="002E2FF6" w:rsidP="002E2FF6">
      <w:pPr>
        <w:pStyle w:val="ListParagraph"/>
        <w:rPr>
          <w:rFonts w:ascii="Times New Roman" w:hAnsi="Times New Roman"/>
          <w:sz w:val="20"/>
          <w:szCs w:val="20"/>
        </w:rPr>
      </w:pPr>
    </w:p>
    <w:p w14:paraId="44C92DCE" w14:textId="77777777" w:rsidR="002E2FF6" w:rsidRPr="00C74BBC" w:rsidRDefault="002E2FF6" w:rsidP="002E2FF6">
      <w:pPr>
        <w:pStyle w:val="ListParagraph"/>
        <w:overflowPunct w:val="0"/>
        <w:autoSpaceDE w:val="0"/>
        <w:autoSpaceDN w:val="0"/>
        <w:spacing w:after="180"/>
        <w:ind w:left="567"/>
        <w:contextualSpacing/>
        <w:rPr>
          <w:rFonts w:ascii="Times New Roman" w:hAnsi="Times New Roman"/>
          <w:sz w:val="20"/>
          <w:szCs w:val="20"/>
        </w:rPr>
      </w:pPr>
      <w:r>
        <w:rPr>
          <w:rFonts w:ascii="Times New Roman" w:hAnsi="Times New Roman"/>
          <w:sz w:val="20"/>
          <w:szCs w:val="20"/>
        </w:rPr>
        <w:t xml:space="preserve">A </w:t>
      </w:r>
      <w:r w:rsidRPr="00C74BBC">
        <w:rPr>
          <w:rFonts w:ascii="Times New Roman" w:hAnsi="Times New Roman"/>
          <w:sz w:val="20"/>
          <w:szCs w:val="20"/>
        </w:rPr>
        <w:t>basic redundancy version sequence</w:t>
      </w:r>
      <w:r>
        <w:rPr>
          <w:rFonts w:ascii="Times New Roman" w:hAnsi="Times New Roman"/>
          <w:sz w:val="20"/>
          <w:szCs w:val="20"/>
        </w:rPr>
        <w:t xml:space="preserve"> with </w:t>
      </w:r>
      <w:r w:rsidRPr="00C74BBC">
        <w:rPr>
          <w:rFonts w:ascii="Times New Roman" w:hAnsi="Times New Roman"/>
          <w:sz w:val="20"/>
          <w:szCs w:val="20"/>
        </w:rPr>
        <w:t xml:space="preserve">[0 2 3 1] is agreed between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and UE beforehand; and the redundancy version sequence</w:t>
      </w:r>
      <w:r>
        <w:rPr>
          <w:rFonts w:ascii="Times New Roman" w:hAnsi="Times New Roman"/>
          <w:sz w:val="20"/>
          <w:szCs w:val="20"/>
        </w:rPr>
        <w:t xml:space="preserve"> of length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sidRPr="00C74BBC">
        <w:rPr>
          <w:rFonts w:ascii="Times New Roman" w:hAnsi="Times New Roman"/>
          <w:sz w:val="20"/>
          <w:szCs w:val="20"/>
        </w:rPr>
        <w:t xml:space="preserve"> recommended by the UE is read out over the basic redundancy version sequence </w:t>
      </w:r>
      <w:r>
        <w:rPr>
          <w:rFonts w:ascii="Times New Roman" w:hAnsi="Times New Roman"/>
          <w:sz w:val="20"/>
          <w:szCs w:val="20"/>
        </w:rPr>
        <w:t xml:space="preserve">with </w:t>
      </w:r>
      <w:r w:rsidRPr="00C74BBC">
        <w:rPr>
          <w:rFonts w:ascii="Times New Roman" w:hAnsi="Times New Roman"/>
          <w:sz w:val="20"/>
          <w:szCs w:val="20"/>
        </w:rPr>
        <w:t xml:space="preserve"> a starting position, and wrap-around is used if the last element of the basic redundancy version sequence is reached before the desired length is met, </w:t>
      </w:r>
      <w:r>
        <w:rPr>
          <w:rFonts w:ascii="Times New Roman" w:hAnsi="Times New Roman"/>
          <w:sz w:val="20"/>
          <w:szCs w:val="20"/>
        </w:rPr>
        <w:t>as</w:t>
      </w:r>
      <w:r w:rsidRPr="00C74BBC">
        <w:rPr>
          <w:rFonts w:ascii="Times New Roman" w:hAnsi="Times New Roman"/>
          <w:sz w:val="20"/>
          <w:szCs w:val="20"/>
        </w:rPr>
        <w:t xml:space="preserve"> shown in Figure 2, the UE can recommend a starting position at “3” with length 3 (or 3 versions), so [3 1 0] can be indicated to the </w:t>
      </w:r>
      <w:proofErr w:type="spellStart"/>
      <w:r w:rsidRPr="00C74BBC">
        <w:rPr>
          <w:rFonts w:ascii="Times New Roman" w:hAnsi="Times New Roman"/>
          <w:sz w:val="20"/>
          <w:szCs w:val="20"/>
        </w:rPr>
        <w:t>gNB</w:t>
      </w:r>
      <w:proofErr w:type="spellEnd"/>
      <w:r w:rsidRPr="00C74BBC">
        <w:rPr>
          <w:rFonts w:ascii="Times New Roman" w:hAnsi="Times New Roman"/>
          <w:sz w:val="20"/>
          <w:szCs w:val="20"/>
        </w:rPr>
        <w:t xml:space="preserve">. </w:t>
      </w:r>
      <w:r>
        <w:rPr>
          <w:rFonts w:ascii="Times New Roman" w:hAnsi="Times New Roman"/>
          <w:sz w:val="20"/>
          <w:szCs w:val="20"/>
        </w:rPr>
        <w:t>Other examples include:</w:t>
      </w:r>
      <w:r w:rsidRPr="00C74BBC">
        <w:rPr>
          <w:rFonts w:ascii="Times New Roman" w:hAnsi="Times New Roman"/>
          <w:sz w:val="20"/>
          <w:szCs w:val="20"/>
        </w:rPr>
        <w:t xml:space="preserve"> </w:t>
      </w:r>
    </w:p>
    <w:p w14:paraId="74EF230E" w14:textId="77777777" w:rsidR="002E2FF6" w:rsidRPr="00C74BBC" w:rsidRDefault="002E2FF6" w:rsidP="002E2FF6">
      <w:pPr>
        <w:pStyle w:val="ListParagraph"/>
        <w:ind w:left="567"/>
        <w:rPr>
          <w:rFonts w:ascii="Times New Roman" w:hAnsi="Times New Roman"/>
          <w:sz w:val="20"/>
          <w:szCs w:val="20"/>
        </w:rPr>
      </w:pPr>
    </w:p>
    <w:p w14:paraId="1520CD85"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[0 2], starting version “0”, length </w:t>
      </w:r>
      <w:proofErr w:type="gramStart"/>
      <w:r w:rsidRPr="00C74BBC">
        <w:rPr>
          <w:rFonts w:ascii="Times New Roman" w:hAnsi="Times New Roman"/>
          <w:sz w:val="20"/>
          <w:szCs w:val="20"/>
        </w:rPr>
        <w:t>2;</w:t>
      </w:r>
      <w:proofErr w:type="gramEnd"/>
    </w:p>
    <w:p w14:paraId="26791D7E"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[0 2 3 1], starting version “0”, length </w:t>
      </w:r>
      <w:proofErr w:type="gramStart"/>
      <w:r w:rsidRPr="00C74BBC">
        <w:rPr>
          <w:rFonts w:ascii="Times New Roman" w:hAnsi="Times New Roman"/>
          <w:sz w:val="20"/>
          <w:szCs w:val="20"/>
        </w:rPr>
        <w:t>4;</w:t>
      </w:r>
      <w:proofErr w:type="gramEnd"/>
    </w:p>
    <w:p w14:paraId="0F6D2AC4"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 xml:space="preserve">[2 3 </w:t>
      </w:r>
      <w:r>
        <w:rPr>
          <w:rFonts w:ascii="Times New Roman" w:hAnsi="Times New Roman"/>
          <w:sz w:val="20"/>
          <w:szCs w:val="20"/>
        </w:rPr>
        <w:t>1</w:t>
      </w:r>
      <w:r w:rsidRPr="00C74BBC">
        <w:rPr>
          <w:rFonts w:ascii="Times New Roman" w:hAnsi="Times New Roman"/>
          <w:sz w:val="20"/>
          <w:szCs w:val="20"/>
        </w:rPr>
        <w:t>]</w:t>
      </w:r>
      <w:r>
        <w:rPr>
          <w:rFonts w:ascii="Times New Roman" w:hAnsi="Times New Roman"/>
          <w:sz w:val="20"/>
          <w:szCs w:val="20"/>
        </w:rPr>
        <w:t xml:space="preserve">, </w:t>
      </w:r>
      <w:r w:rsidRPr="00C74BBC">
        <w:rPr>
          <w:rFonts w:ascii="Times New Roman" w:hAnsi="Times New Roman"/>
          <w:sz w:val="20"/>
          <w:szCs w:val="20"/>
        </w:rPr>
        <w:t>starting version “2”, length 3.</w:t>
      </w:r>
    </w:p>
    <w:p w14:paraId="6A0E5952" w14:textId="77777777" w:rsidR="002E2FF6" w:rsidRPr="00C74BBC" w:rsidRDefault="002E2FF6" w:rsidP="002E2FF6">
      <w:pPr>
        <w:pStyle w:val="ListParagraph"/>
        <w:numPr>
          <w:ilvl w:val="1"/>
          <w:numId w:val="4"/>
        </w:numPr>
        <w:overflowPunct w:val="0"/>
        <w:autoSpaceDE w:val="0"/>
        <w:autoSpaceDN w:val="0"/>
        <w:spacing w:after="180"/>
        <w:ind w:left="1287"/>
        <w:contextualSpacing/>
        <w:rPr>
          <w:rFonts w:ascii="Times New Roman" w:hAnsi="Times New Roman"/>
          <w:sz w:val="20"/>
          <w:szCs w:val="20"/>
        </w:rPr>
      </w:pPr>
      <w:r w:rsidRPr="00C74BBC">
        <w:rPr>
          <w:rFonts w:ascii="Times New Roman" w:hAnsi="Times New Roman"/>
          <w:sz w:val="20"/>
          <w:szCs w:val="20"/>
        </w:rPr>
        <w:t>[3], starting version “3”, length 1.</w:t>
      </w:r>
    </w:p>
    <w:p w14:paraId="4385A0DD" w14:textId="77777777" w:rsidR="002E2FF6" w:rsidRPr="00C74BBC" w:rsidRDefault="002E2FF6" w:rsidP="002E2FF6">
      <w:pPr>
        <w:ind w:left="567"/>
        <w:rPr>
          <w:sz w:val="20"/>
          <w:szCs w:val="20"/>
        </w:rPr>
      </w:pPr>
      <w:r w:rsidRPr="00C74BBC">
        <w:rPr>
          <w:sz w:val="20"/>
          <w:szCs w:val="20"/>
        </w:rPr>
        <w:t>The benefit of indicating the starting version can be seen as follows:</w:t>
      </w:r>
    </w:p>
    <w:p w14:paraId="787924B6" w14:textId="77777777" w:rsidR="002E2FF6" w:rsidRPr="00C74BBC" w:rsidRDefault="002E2FF6" w:rsidP="002E2FF6">
      <w:pPr>
        <w:ind w:left="567"/>
        <w:rPr>
          <w:sz w:val="20"/>
          <w:szCs w:val="20"/>
        </w:rPr>
      </w:pPr>
      <w:r w:rsidRPr="00C74BBC">
        <w:rPr>
          <w:sz w:val="20"/>
          <w:szCs w:val="20"/>
        </w:rPr>
        <w:t xml:space="preserve">A number of factors affect the status of UE’s soft bits: the redundancy versions utilized in previous transmissions, missed reception of PDCCH scheduling transmission of PDSCH, interference from other cells, aged CSI which leads to sub-optimal MCS level selection. While the UE has a clear view of the current status of its soft bits, </w:t>
      </w:r>
      <w:r>
        <w:rPr>
          <w:sz w:val="20"/>
          <w:szCs w:val="20"/>
        </w:rPr>
        <w:t xml:space="preserve">affected by </w:t>
      </w:r>
      <w:r w:rsidRPr="00C74BBC">
        <w:rPr>
          <w:sz w:val="20"/>
          <w:szCs w:val="20"/>
        </w:rPr>
        <w:t>those listed factors</w:t>
      </w:r>
      <w:r>
        <w:rPr>
          <w:sz w:val="20"/>
          <w:szCs w:val="20"/>
        </w:rPr>
        <w:t xml:space="preserve"> at least</w:t>
      </w:r>
      <w:r w:rsidRPr="00C74BBC">
        <w:rPr>
          <w:sz w:val="20"/>
          <w:szCs w:val="20"/>
        </w:rPr>
        <w:t xml:space="preserve">, the </w:t>
      </w:r>
      <w:proofErr w:type="spellStart"/>
      <w:r w:rsidRPr="00C74BBC">
        <w:rPr>
          <w:sz w:val="20"/>
          <w:szCs w:val="20"/>
        </w:rPr>
        <w:t>gNB</w:t>
      </w:r>
      <w:proofErr w:type="spellEnd"/>
      <w:r w:rsidRPr="00C74BBC">
        <w:rPr>
          <w:sz w:val="20"/>
          <w:szCs w:val="20"/>
        </w:rPr>
        <w:t xml:space="preserve"> may be oblivious of </w:t>
      </w:r>
      <w:r>
        <w:rPr>
          <w:sz w:val="20"/>
          <w:szCs w:val="20"/>
        </w:rPr>
        <w:t>them</w:t>
      </w:r>
      <w:r w:rsidRPr="00C74BBC">
        <w:rPr>
          <w:sz w:val="20"/>
          <w:szCs w:val="20"/>
        </w:rPr>
        <w:t>. We use two cases below to illustrate that.</w:t>
      </w:r>
    </w:p>
    <w:p w14:paraId="5A823F92" w14:textId="77777777" w:rsidR="002E2FF6" w:rsidRPr="00C74BBC" w:rsidRDefault="002E2FF6" w:rsidP="002E2FF6">
      <w:pPr>
        <w:ind w:left="567"/>
        <w:rPr>
          <w:sz w:val="20"/>
          <w:szCs w:val="20"/>
        </w:rPr>
      </w:pPr>
    </w:p>
    <w:p w14:paraId="51CD9BC8" w14:textId="77777777" w:rsidR="002E2FF6"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one case, the first transmission is with redundancy version “0”, and the UE receives the PDSCH with benign channel/interference condition, and the UE determines just a little bit more redundancy information from the </w:t>
      </w:r>
      <w:proofErr w:type="spellStart"/>
      <w:r w:rsidRPr="000352E7">
        <w:rPr>
          <w:rFonts w:ascii="Times New Roman" w:hAnsi="Times New Roman"/>
          <w:sz w:val="20"/>
          <w:szCs w:val="20"/>
        </w:rPr>
        <w:t>gNB</w:t>
      </w:r>
      <w:proofErr w:type="spellEnd"/>
      <w:r w:rsidRPr="000352E7">
        <w:rPr>
          <w:rFonts w:ascii="Times New Roman" w:hAnsi="Times New Roman"/>
          <w:sz w:val="20"/>
          <w:szCs w:val="20"/>
        </w:rPr>
        <w:t xml:space="preserve"> would allow it to decode the transport block successfully, and in this case the UE can indicate redundancy version “1” for retransmission (</w:t>
      </w:r>
      <w:proofErr w:type="gramStart"/>
      <w:r w:rsidRPr="000352E7">
        <w:rPr>
          <w:rFonts w:ascii="Times New Roman" w:hAnsi="Times New Roman"/>
          <w:sz w:val="20"/>
          <w:szCs w:val="20"/>
        </w:rPr>
        <w:t>e.g.</w:t>
      </w:r>
      <w:proofErr w:type="gramEnd"/>
      <w:r w:rsidRPr="000352E7">
        <w:rPr>
          <w:rFonts w:ascii="Times New Roman" w:hAnsi="Times New Roman"/>
          <w:sz w:val="20"/>
          <w:szCs w:val="20"/>
        </w:rPr>
        <w:t xml:space="preserve"> for lowering the code rate);</w:t>
      </w:r>
    </w:p>
    <w:p w14:paraId="57DE1608" w14:textId="77777777" w:rsidR="002E2FF6" w:rsidRPr="000352E7" w:rsidRDefault="002E2FF6" w:rsidP="002E2FF6">
      <w:pPr>
        <w:pStyle w:val="ListParagraph"/>
        <w:ind w:left="1287"/>
        <w:rPr>
          <w:rFonts w:ascii="Times New Roman" w:hAnsi="Times New Roman"/>
          <w:sz w:val="20"/>
          <w:szCs w:val="20"/>
        </w:rPr>
      </w:pPr>
    </w:p>
    <w:p w14:paraId="7E000A98" w14:textId="77777777" w:rsidR="002E2FF6" w:rsidRPr="000352E7" w:rsidRDefault="002E2FF6" w:rsidP="002E2FF6">
      <w:pPr>
        <w:pStyle w:val="ListParagraph"/>
        <w:numPr>
          <w:ilvl w:val="0"/>
          <w:numId w:val="5"/>
        </w:numPr>
        <w:rPr>
          <w:rFonts w:ascii="Times New Roman" w:hAnsi="Times New Roman"/>
          <w:sz w:val="20"/>
          <w:szCs w:val="20"/>
        </w:rPr>
      </w:pPr>
      <w:r w:rsidRPr="000352E7">
        <w:rPr>
          <w:rFonts w:ascii="Times New Roman" w:hAnsi="Times New Roman"/>
          <w:sz w:val="20"/>
          <w:szCs w:val="20"/>
        </w:rPr>
        <w:t xml:space="preserve">In another case, the first transmission is with redundancy version “0”, and the UE receives the PDSCH with severe interference and/or channel fading, the soft bits for systematic bits of </w:t>
      </w:r>
      <w:proofErr w:type="spellStart"/>
      <w:r w:rsidRPr="000352E7">
        <w:rPr>
          <w:rFonts w:ascii="Times New Roman" w:hAnsi="Times New Roman"/>
          <w:sz w:val="20"/>
          <w:szCs w:val="20"/>
        </w:rPr>
        <w:t>codeblock</w:t>
      </w:r>
      <w:proofErr w:type="spellEnd"/>
      <w:r w:rsidRPr="000352E7">
        <w:rPr>
          <w:rFonts w:ascii="Times New Roman" w:hAnsi="Times New Roman"/>
          <w:sz w:val="20"/>
          <w:szCs w:val="20"/>
        </w:rPr>
        <w:t xml:space="preserve">(s) are unreliable, then the UE can ask for retransmission to start with redundancy version “0” to ensure systematic bits are retransmitted. </w:t>
      </w:r>
    </w:p>
    <w:p w14:paraId="62A35351" w14:textId="77777777" w:rsidR="002E2FF6" w:rsidRPr="00C74BBC" w:rsidRDefault="002E2FF6" w:rsidP="002E2FF6">
      <w:pPr>
        <w:ind w:left="567"/>
        <w:rPr>
          <w:sz w:val="20"/>
          <w:szCs w:val="20"/>
        </w:rPr>
      </w:pPr>
      <w:r w:rsidRPr="00C74BBC">
        <w:rPr>
          <w:sz w:val="20"/>
          <w:szCs w:val="20"/>
        </w:rPr>
        <w:tab/>
        <w:t xml:space="preserve"> </w:t>
      </w:r>
    </w:p>
    <w:p w14:paraId="2EC02C0F" w14:textId="77777777" w:rsidR="002E2FF6" w:rsidRPr="001F04C7" w:rsidRDefault="002E2FF6" w:rsidP="002E2FF6">
      <w:pPr>
        <w:ind w:left="567"/>
        <w:rPr>
          <w:sz w:val="20"/>
          <w:szCs w:val="20"/>
        </w:rPr>
      </w:pPr>
      <w:r w:rsidRPr="00C74BBC">
        <w:rPr>
          <w:sz w:val="20"/>
          <w:szCs w:val="20"/>
        </w:rPr>
        <w:tab/>
        <w:t>It can be seen that the UE may desire different starting version for the recommended redundancy version sequence, depending on the current status of its soft bits.</w:t>
      </w:r>
      <w:r>
        <w:rPr>
          <w:sz w:val="20"/>
          <w:szCs w:val="20"/>
        </w:rPr>
        <w:t xml:space="preserve"> Including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a length of the HARQ redundancy version sequence essentially provides to the network on the shortage to succes</w:t>
      </w:r>
      <w:proofErr w:type="spellStart"/>
      <w:r>
        <w:rPr>
          <w:sz w:val="20"/>
          <w:szCs w:val="20"/>
        </w:rPr>
        <w:t>sful</w:t>
      </w:r>
      <w:proofErr w:type="spellEnd"/>
      <w:r>
        <w:rPr>
          <w:sz w:val="20"/>
          <w:szCs w:val="20"/>
        </w:rPr>
        <w:t xml:space="preserve"> decoding. The </w:t>
      </w:r>
      <w:proofErr w:type="spellStart"/>
      <w:r>
        <w:rPr>
          <w:sz w:val="20"/>
          <w:szCs w:val="20"/>
        </w:rPr>
        <w:t>gNB</w:t>
      </w:r>
      <w:proofErr w:type="spellEnd"/>
      <w:r>
        <w:rPr>
          <w:sz w:val="20"/>
          <w:szCs w:val="20"/>
        </w:rPr>
        <w:t xml:space="preserve"> can choose to use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sz w:val="20"/>
          <w:szCs w:val="20"/>
        </w:rPr>
        <w:t xml:space="preserve"> times of the resource allocation as the current one’s.</w:t>
      </w:r>
    </w:p>
    <w:p w14:paraId="1D6708ED" w14:textId="77777777" w:rsidR="002E2FF6" w:rsidRDefault="002E2FF6" w:rsidP="002E2FF6">
      <w:pPr>
        <w:keepNext/>
        <w:ind w:left="720"/>
      </w:pPr>
      <w:r>
        <w:rPr>
          <w:noProof/>
        </w:rPr>
        <w:lastRenderedPageBreak/>
        <w:drawing>
          <wp:inline distT="0" distB="0" distL="0" distR="0" wp14:anchorId="173352AF" wp14:editId="26F7B2C8">
            <wp:extent cx="3313713" cy="2681492"/>
            <wp:effectExtent l="0" t="0" r="0" b="0"/>
            <wp:docPr id="56" name="Picture 55">
              <a:extLst xmlns:a="http://schemas.openxmlformats.org/drawingml/2006/main">
                <a:ext uri="{FF2B5EF4-FFF2-40B4-BE49-F238E27FC236}">
                  <a16:creationId xmlns:a16="http://schemas.microsoft.com/office/drawing/2014/main" id="{38A906B8-88B4-9840-AED6-DA5E76B60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5">
                      <a:extLst>
                        <a:ext uri="{FF2B5EF4-FFF2-40B4-BE49-F238E27FC236}">
                          <a16:creationId xmlns:a16="http://schemas.microsoft.com/office/drawing/2014/main" id="{38A906B8-88B4-9840-AED6-DA5E76B607F7}"/>
                        </a:ext>
                      </a:extLst>
                    </pic:cNvPr>
                    <pic:cNvPicPr>
                      <a:picLocks noChangeAspect="1"/>
                    </pic:cNvPicPr>
                  </pic:nvPicPr>
                  <pic:blipFill>
                    <a:blip r:embed="rId8"/>
                    <a:stretch>
                      <a:fillRect/>
                    </a:stretch>
                  </pic:blipFill>
                  <pic:spPr>
                    <a:xfrm>
                      <a:off x="0" y="0"/>
                      <a:ext cx="3360244" cy="2719145"/>
                    </a:xfrm>
                    <a:prstGeom prst="rect">
                      <a:avLst/>
                    </a:prstGeom>
                  </pic:spPr>
                </pic:pic>
              </a:graphicData>
            </a:graphic>
          </wp:inline>
        </w:drawing>
      </w:r>
    </w:p>
    <w:p w14:paraId="14CE3EE5" w14:textId="77777777" w:rsidR="002E2FF6" w:rsidRDefault="002E2FF6" w:rsidP="002E2FF6">
      <w:pPr>
        <w:pStyle w:val="Caption"/>
      </w:pPr>
      <w:r>
        <w:t xml:space="preserve">Figure </w:t>
      </w:r>
      <w:fldSimple w:instr=" SEQ Figure \* ARABIC ">
        <w:r>
          <w:rPr>
            <w:noProof/>
          </w:rPr>
          <w:t>2</w:t>
        </w:r>
      </w:fldSimple>
      <w:r>
        <w:t xml:space="preserve"> wrap-around read-out with the basic redundancy version sequence at [0, 2, 3, 1] </w:t>
      </w:r>
    </w:p>
    <w:p w14:paraId="474FA604" w14:textId="77777777" w:rsidR="002E2FF6" w:rsidRPr="00C74BBC" w:rsidRDefault="002E2FF6" w:rsidP="002E2FF6">
      <w:pPr>
        <w:rPr>
          <w:sz w:val="20"/>
          <w:szCs w:val="20"/>
        </w:rPr>
      </w:pPr>
      <w:r w:rsidRPr="00C74BBC">
        <w:rPr>
          <w:sz w:val="20"/>
          <w:szCs w:val="20"/>
        </w:rPr>
        <w:t xml:space="preserve">A number of examples are provided in Figure 3. </w:t>
      </w:r>
    </w:p>
    <w:p w14:paraId="55A0C497" w14:textId="77777777" w:rsidR="002E2FF6" w:rsidRDefault="002E2FF6" w:rsidP="002E2FF6">
      <w:pPr>
        <w:keepNext/>
      </w:pPr>
      <w:r w:rsidRPr="00EE7871">
        <w:rPr>
          <w:noProof/>
        </w:rPr>
        <w:drawing>
          <wp:inline distT="0" distB="0" distL="0" distR="0" wp14:anchorId="079266C5" wp14:editId="167D4B51">
            <wp:extent cx="6120765" cy="1769745"/>
            <wp:effectExtent l="0" t="0" r="635"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69745"/>
                    </a:xfrm>
                    <a:prstGeom prst="rect">
                      <a:avLst/>
                    </a:prstGeom>
                  </pic:spPr>
                </pic:pic>
              </a:graphicData>
            </a:graphic>
          </wp:inline>
        </w:drawing>
      </w:r>
    </w:p>
    <w:p w14:paraId="13A2A63B" w14:textId="77777777" w:rsidR="002E2FF6" w:rsidRDefault="002E2FF6" w:rsidP="002E2FF6">
      <w:pPr>
        <w:pStyle w:val="Caption"/>
      </w:pPr>
      <w:r>
        <w:t xml:space="preserve">Figure </w:t>
      </w:r>
      <w:fldSimple w:instr=" SEQ Figure \* ARABIC ">
        <w:r>
          <w:rPr>
            <w:noProof/>
          </w:rPr>
          <w:t>3</w:t>
        </w:r>
      </w:fldSimple>
      <w:r>
        <w:t xml:space="preserve"> Examples of enhanced HARQ feedback schemes </w:t>
      </w:r>
    </w:p>
    <w:p w14:paraId="61CFE2F3" w14:textId="77777777" w:rsidR="002E2FF6" w:rsidRDefault="002E2FF6" w:rsidP="002E2FF6"/>
    <w:p w14:paraId="7F4262FC" w14:textId="77777777" w:rsidR="002E2FF6" w:rsidRDefault="002E2FF6" w:rsidP="002E2FF6">
      <w:pPr>
        <w:keepNext/>
      </w:pPr>
    </w:p>
    <w:p w14:paraId="30DC4E2A" w14:textId="77777777" w:rsidR="002E2FF6" w:rsidRPr="00C74BBC" w:rsidRDefault="002E2FF6" w:rsidP="002E2FF6">
      <w:pPr>
        <w:rPr>
          <w:sz w:val="20"/>
          <w:szCs w:val="20"/>
        </w:rPr>
      </w:pPr>
      <w:r w:rsidRPr="00C74BBC">
        <w:rPr>
          <w:sz w:val="20"/>
          <w:szCs w:val="20"/>
        </w:rPr>
        <w:t>We have</w:t>
      </w:r>
    </w:p>
    <w:p w14:paraId="0EAF7B66" w14:textId="606A9132" w:rsidR="002E2FF6" w:rsidRPr="00C74BBC" w:rsidRDefault="002E2FF6" w:rsidP="002E2FF6">
      <w:pPr>
        <w:rPr>
          <w:b/>
          <w:bCs/>
          <w:sz w:val="20"/>
          <w:szCs w:val="20"/>
        </w:rPr>
      </w:pPr>
      <w:r w:rsidRPr="00C74BBC">
        <w:rPr>
          <w:b/>
          <w:bCs/>
          <w:sz w:val="20"/>
          <w:szCs w:val="20"/>
        </w:rPr>
        <w:t xml:space="preserve">Proposal: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7D1DBF3C"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793E5010" w14:textId="77777777" w:rsidR="002E2FF6" w:rsidRPr="00C74BBC" w:rsidRDefault="002E2FF6" w:rsidP="002E2FF6">
      <w:pPr>
        <w:ind w:left="720" w:firstLine="720"/>
        <w:rPr>
          <w:b/>
          <w:bCs/>
          <w:sz w:val="20"/>
          <w:szCs w:val="20"/>
        </w:rPr>
      </w:pPr>
      <w:r w:rsidRPr="00C74BBC">
        <w:rPr>
          <w:b/>
          <w:bCs/>
          <w:sz w:val="20"/>
          <w:szCs w:val="20"/>
        </w:rPr>
        <w:t>the UE feeds back “ACK</w:t>
      </w:r>
      <w:proofErr w:type="gramStart"/>
      <w:r w:rsidRPr="00C74BBC">
        <w:rPr>
          <w:b/>
          <w:bCs/>
          <w:sz w:val="20"/>
          <w:szCs w:val="20"/>
        </w:rPr>
        <w:t>”;</w:t>
      </w:r>
      <w:proofErr w:type="gramEnd"/>
      <w:r w:rsidRPr="00C74BBC">
        <w:rPr>
          <w:b/>
          <w:bCs/>
          <w:sz w:val="20"/>
          <w:szCs w:val="20"/>
        </w:rPr>
        <w:t xml:space="preserve"> </w:t>
      </w:r>
    </w:p>
    <w:p w14:paraId="66926BF9" w14:textId="77777777" w:rsidR="002E2FF6" w:rsidRPr="00C74BBC" w:rsidRDefault="002E2FF6" w:rsidP="002E2FF6">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57AB99B2" w14:textId="6E3BE888" w:rsidR="00F30E80" w:rsidRPr="001D62F8" w:rsidRDefault="002E2FF6" w:rsidP="00F30E80">
      <w:pPr>
        <w:pStyle w:val="Heading1"/>
      </w:pPr>
      <w:r w:rsidRPr="009C4D26">
        <w:t xml:space="preserve">Discussion on </w:t>
      </w:r>
      <w:r w:rsidR="00256D5F" w:rsidRPr="009C4D26">
        <w:t>AP CSI over PUCCH</w:t>
      </w:r>
    </w:p>
    <w:p w14:paraId="6D342C2C" w14:textId="77777777" w:rsidR="00F30E80" w:rsidRPr="005519AD" w:rsidRDefault="00F30E80" w:rsidP="00F30E80">
      <w:pPr>
        <w:rPr>
          <w:sz w:val="20"/>
          <w:szCs w:val="20"/>
        </w:rPr>
      </w:pPr>
      <w:r w:rsidRPr="005519AD">
        <w:rPr>
          <w:sz w:val="20"/>
          <w:szCs w:val="20"/>
        </w:rPr>
        <w:t>For the discussion of AP-CSI over PUCCH, we assume the following:</w:t>
      </w:r>
    </w:p>
    <w:p w14:paraId="058F88BA" w14:textId="77777777" w:rsidR="00F30E80" w:rsidRPr="005519AD" w:rsidRDefault="00F30E80" w:rsidP="00F30E80">
      <w:pPr>
        <w:rPr>
          <w:sz w:val="20"/>
          <w:szCs w:val="20"/>
        </w:rPr>
      </w:pPr>
    </w:p>
    <w:p w14:paraId="6E7CFB0B" w14:textId="507A5AC3" w:rsidR="00F30E80" w:rsidRDefault="00F30E80" w:rsidP="00F30E80">
      <w:pPr>
        <w:rPr>
          <w:sz w:val="20"/>
          <w:szCs w:val="20"/>
        </w:rPr>
      </w:pPr>
      <w:r w:rsidRPr="005519AD">
        <w:rPr>
          <w:sz w:val="20"/>
          <w:szCs w:val="20"/>
        </w:rPr>
        <w:t xml:space="preserve">For CSI measurement, the measurement resources are still as found in Rel-16, i.e. CSI-RS including CSI-RS for CMR and </w:t>
      </w:r>
      <w:proofErr w:type="gramStart"/>
      <w:r w:rsidRPr="005519AD">
        <w:rPr>
          <w:sz w:val="20"/>
          <w:szCs w:val="20"/>
        </w:rPr>
        <w:t>IMR,  CSI</w:t>
      </w:r>
      <w:proofErr w:type="gramEnd"/>
      <w:r w:rsidRPr="005519AD">
        <w:rPr>
          <w:sz w:val="20"/>
          <w:szCs w:val="20"/>
        </w:rPr>
        <w:t xml:space="preserve">-IM. Whether </w:t>
      </w:r>
      <w:r w:rsidR="003729B6">
        <w:rPr>
          <w:sz w:val="20"/>
          <w:szCs w:val="20"/>
        </w:rPr>
        <w:t xml:space="preserve">measurement resources include </w:t>
      </w:r>
      <w:r w:rsidRPr="005519AD">
        <w:rPr>
          <w:sz w:val="20"/>
          <w:szCs w:val="20"/>
        </w:rPr>
        <w:t>CSI-RS for other use cases such as beam management and TRS can be further discussed. For measurement over P/SP CSI measurement resources, we don’t envision any change is needed in Rel-17. For AP CSI resources, which can be triggered by an uplink DCI in both Rel-15 and Rel-16, we can discuss extension of the triggering mechanism to DL DCIs, such as DCI format 1_1 and 1_2; by introducing a trigger state field in DL DCI 1_1 and 1_2 respectively. Following the design precedence established for new DCI formats under URLLC, the trigger state field should be made configurable through RRC signaling.</w:t>
      </w:r>
      <w:r>
        <w:rPr>
          <w:sz w:val="20"/>
          <w:szCs w:val="20"/>
        </w:rPr>
        <w:t xml:space="preserve"> </w:t>
      </w:r>
    </w:p>
    <w:p w14:paraId="4BB7CD08" w14:textId="77777777" w:rsidR="00F30E80" w:rsidRPr="005519AD" w:rsidRDefault="00F30E80" w:rsidP="00F30E80">
      <w:pPr>
        <w:rPr>
          <w:sz w:val="20"/>
          <w:szCs w:val="20"/>
        </w:rPr>
      </w:pPr>
    </w:p>
    <w:p w14:paraId="65418572" w14:textId="19FD97A5" w:rsidR="00F30E80" w:rsidRPr="005519AD" w:rsidRDefault="00F30E80" w:rsidP="00F30E80">
      <w:pPr>
        <w:rPr>
          <w:sz w:val="20"/>
          <w:szCs w:val="20"/>
        </w:rPr>
      </w:pPr>
      <w:r w:rsidRPr="005519AD">
        <w:rPr>
          <w:sz w:val="20"/>
          <w:szCs w:val="20"/>
        </w:rPr>
        <w:t>As for CSI report quantity, in Rel-15, 8 report quantities including “none” are supported; in Rel-16, L1-SINR is further introduced. If no new CSI report quantity is introduced, then the same trigger state list (CSI-</w:t>
      </w:r>
      <w:proofErr w:type="spellStart"/>
      <w:proofErr w:type="gramStart"/>
      <w:r w:rsidRPr="005519AD">
        <w:rPr>
          <w:sz w:val="20"/>
          <w:szCs w:val="20"/>
        </w:rPr>
        <w:t>AperiodicTriggerStateList</w:t>
      </w:r>
      <w:proofErr w:type="spellEnd"/>
      <w:r w:rsidRPr="005519AD">
        <w:rPr>
          <w:sz w:val="20"/>
          <w:szCs w:val="20"/>
        </w:rPr>
        <w:t>)  can</w:t>
      </w:r>
      <w:proofErr w:type="gramEnd"/>
      <w:r w:rsidRPr="005519AD">
        <w:rPr>
          <w:sz w:val="20"/>
          <w:szCs w:val="20"/>
        </w:rPr>
        <w:t xml:space="preserve"> be shared between uplink DCI formats and downlink DCI formats. In the current trigger state design, one trigger </w:t>
      </w:r>
      <w:r w:rsidRPr="005519AD">
        <w:rPr>
          <w:sz w:val="20"/>
          <w:szCs w:val="20"/>
        </w:rPr>
        <w:lastRenderedPageBreak/>
        <w:t>state can be associated with up to 16 CSI reports (</w:t>
      </w:r>
      <w:proofErr w:type="spellStart"/>
      <w:r w:rsidRPr="005519AD">
        <w:rPr>
          <w:sz w:val="20"/>
          <w:szCs w:val="20"/>
        </w:rPr>
        <w:t>maxNrofReportConfigPerAperiodicTrigger</w:t>
      </w:r>
      <w:proofErr w:type="spellEnd"/>
      <w:r w:rsidRPr="005519AD">
        <w:rPr>
          <w:sz w:val="20"/>
          <w:szCs w:val="20"/>
        </w:rPr>
        <w:t xml:space="preserve"> = 16). Considering for URLLC, the number of CSI reports needed for the </w:t>
      </w:r>
      <w:proofErr w:type="spellStart"/>
      <w:r w:rsidRPr="005519AD">
        <w:rPr>
          <w:sz w:val="20"/>
          <w:szCs w:val="20"/>
        </w:rPr>
        <w:t>gNB</w:t>
      </w:r>
      <w:proofErr w:type="spellEnd"/>
      <w:r w:rsidRPr="005519AD">
        <w:rPr>
          <w:sz w:val="20"/>
          <w:szCs w:val="20"/>
        </w:rPr>
        <w:t xml:space="preserve"> to make scheduling decision may not be so many, </w:t>
      </w:r>
      <w:proofErr w:type="gramStart"/>
      <w:r w:rsidRPr="005519AD">
        <w:rPr>
          <w:sz w:val="20"/>
          <w:szCs w:val="20"/>
        </w:rPr>
        <w:t>e.g.</w:t>
      </w:r>
      <w:proofErr w:type="gramEnd"/>
      <w:r w:rsidRPr="005519AD">
        <w:rPr>
          <w:sz w:val="20"/>
          <w:szCs w:val="20"/>
        </w:rPr>
        <w:t xml:space="preserve"> only CSI reporting relevant to the ongoing transmission is needed, and for other transmissions CSI reporting can be shared between </w:t>
      </w:r>
      <w:proofErr w:type="spellStart"/>
      <w:r w:rsidRPr="005519AD">
        <w:rPr>
          <w:sz w:val="20"/>
          <w:szCs w:val="20"/>
        </w:rPr>
        <w:t>eMBB</w:t>
      </w:r>
      <w:proofErr w:type="spellEnd"/>
      <w:r w:rsidRPr="005519AD">
        <w:rPr>
          <w:sz w:val="20"/>
          <w:szCs w:val="20"/>
        </w:rPr>
        <w:t xml:space="preserve"> and URLLC traffic, the number of CSI reports associated with a trigger state can be much reduced, e.g.  reducing the number of CSI reports to one for AP CSI reporting triggered by a DL DCI. Considering from that angle, it seems also possible and perhaps even desirable to introduce a separate trigger state list for DL DCIs.  In any case, with trigger state lists for both DL DCIs and UL DCIs, on-chip memory is required to store the trigger state information, hence the total number of trigger states including those for DL and uplink DCIs should be limited.  For that, a UE capability can be introduced to limit the total number of activated trigger states for both DL DCIs and UL DCIs. We have</w:t>
      </w:r>
    </w:p>
    <w:p w14:paraId="35DE6A8B" w14:textId="77777777" w:rsidR="00A96BC4" w:rsidRDefault="00A96BC4" w:rsidP="00A96BC4">
      <w:pPr>
        <w:rPr>
          <w:b/>
          <w:bCs/>
          <w:sz w:val="20"/>
          <w:szCs w:val="20"/>
        </w:rPr>
      </w:pPr>
      <w:r w:rsidRPr="005519AD">
        <w:rPr>
          <w:b/>
          <w:bCs/>
          <w:sz w:val="20"/>
          <w:szCs w:val="20"/>
        </w:rPr>
        <w:t xml:space="preserve">Observation: If separate trigger state lists are introduced for DL DCIs and UL </w:t>
      </w:r>
      <w:proofErr w:type="gramStart"/>
      <w:r w:rsidRPr="005519AD">
        <w:rPr>
          <w:b/>
          <w:bCs/>
          <w:sz w:val="20"/>
          <w:szCs w:val="20"/>
        </w:rPr>
        <w:t>DCIs,  the</w:t>
      </w:r>
      <w:proofErr w:type="gramEnd"/>
      <w:r w:rsidRPr="005519AD">
        <w:rPr>
          <w:b/>
          <w:bCs/>
          <w:sz w:val="20"/>
          <w:szCs w:val="20"/>
        </w:rPr>
        <w:t xml:space="preserv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w:t>
      </w:r>
      <w:proofErr w:type="gramStart"/>
      <w:r>
        <w:rPr>
          <w:b/>
          <w:bCs/>
          <w:sz w:val="20"/>
          <w:szCs w:val="20"/>
        </w:rPr>
        <w:t>Alternatively</w:t>
      </w:r>
      <w:proofErr w:type="gramEnd"/>
      <w:r>
        <w:rPr>
          <w:b/>
          <w:bCs/>
          <w:sz w:val="20"/>
          <w:szCs w:val="20"/>
        </w:rPr>
        <w:t xml:space="preserve"> the total number of trigger states associated with DL DCIs is limited to X (X is FFS), and X is a UE capability.</w:t>
      </w:r>
    </w:p>
    <w:p w14:paraId="1DA94294" w14:textId="77777777" w:rsidR="00F30E80" w:rsidRPr="005519AD" w:rsidRDefault="00F30E80" w:rsidP="00F30E80">
      <w:pPr>
        <w:rPr>
          <w:sz w:val="20"/>
          <w:szCs w:val="20"/>
        </w:rPr>
      </w:pPr>
    </w:p>
    <w:p w14:paraId="242DCF86" w14:textId="77777777" w:rsidR="00F30E80" w:rsidRPr="005519AD" w:rsidRDefault="00F30E80" w:rsidP="00F30E80">
      <w:pPr>
        <w:rPr>
          <w:b/>
          <w:bCs/>
          <w:sz w:val="20"/>
          <w:szCs w:val="20"/>
        </w:rPr>
      </w:pPr>
    </w:p>
    <w:p w14:paraId="0C7EFB29" w14:textId="77777777" w:rsidR="00F30E80" w:rsidRPr="005519AD" w:rsidRDefault="00F30E80" w:rsidP="00F30E80">
      <w:pPr>
        <w:rPr>
          <w:sz w:val="20"/>
          <w:szCs w:val="20"/>
        </w:rPr>
      </w:pPr>
      <w:r w:rsidRPr="005519AD">
        <w:rPr>
          <w:sz w:val="20"/>
          <w:szCs w:val="20"/>
        </w:rPr>
        <w:t xml:space="preserve">In DCI format 0_1 and 0_2, the PRI indication is used to indicate the PUCCH resource for HARQ-feedback. For DL DCI triggered AP-CSI report, if PRI is introduced in a DL DCI, the UCI for CSI feedback can be multiplexed with HARQ-feedback in the indicated PUCCH resource.  </w:t>
      </w:r>
    </w:p>
    <w:p w14:paraId="4D229E69" w14:textId="77777777" w:rsidR="00F30E80" w:rsidRPr="00C74BBC" w:rsidRDefault="00F30E80" w:rsidP="002E2FF6">
      <w:pPr>
        <w:rPr>
          <w:sz w:val="20"/>
          <w:szCs w:val="20"/>
        </w:rPr>
      </w:pPr>
    </w:p>
    <w:p w14:paraId="426597A0" w14:textId="77777777" w:rsidR="002E2FF6" w:rsidRDefault="002E2FF6" w:rsidP="003501AB">
      <w:pPr>
        <w:pStyle w:val="Heading1"/>
        <w:numPr>
          <w:ilvl w:val="0"/>
          <w:numId w:val="0"/>
        </w:numPr>
        <w:ind w:left="432" w:hanging="432"/>
      </w:pPr>
      <w:r>
        <w:t xml:space="preserve">3. </w:t>
      </w:r>
      <w:r w:rsidRPr="00FB330B">
        <w:t>Conclusions</w:t>
      </w:r>
    </w:p>
    <w:p w14:paraId="4E76B7E1" w14:textId="77777777" w:rsidR="002E2FF6" w:rsidRDefault="002E2FF6" w:rsidP="002E2FF6">
      <w:pPr>
        <w:jc w:val="both"/>
        <w:rPr>
          <w:sz w:val="20"/>
          <w:szCs w:val="20"/>
        </w:rPr>
      </w:pPr>
      <w:r>
        <w:rPr>
          <w:sz w:val="20"/>
          <w:szCs w:val="20"/>
        </w:rPr>
        <w:t>In this contribution we share our views on HARQ/CSI-RS enhancements. We have</w:t>
      </w:r>
    </w:p>
    <w:p w14:paraId="3B791C03" w14:textId="77777777" w:rsidR="002E2FF6" w:rsidRDefault="002E2FF6" w:rsidP="002E2FF6">
      <w:pPr>
        <w:jc w:val="both"/>
        <w:rPr>
          <w:sz w:val="20"/>
          <w:szCs w:val="20"/>
        </w:rPr>
      </w:pPr>
    </w:p>
    <w:p w14:paraId="303480CC" w14:textId="0A46E6FF" w:rsidR="002E2FF6" w:rsidRPr="00C74BBC" w:rsidRDefault="002E2FF6" w:rsidP="002E2FF6">
      <w:pPr>
        <w:rPr>
          <w:b/>
          <w:bCs/>
          <w:sz w:val="20"/>
          <w:szCs w:val="20"/>
        </w:rPr>
      </w:pPr>
      <w:r w:rsidRPr="00C74BBC">
        <w:rPr>
          <w:b/>
          <w:bCs/>
          <w:sz w:val="20"/>
          <w:szCs w:val="20"/>
        </w:rPr>
        <w:t xml:space="preserve">Proposal: </w:t>
      </w:r>
      <w:r>
        <w:rPr>
          <w:b/>
          <w:bCs/>
          <w:sz w:val="20"/>
          <w:szCs w:val="20"/>
        </w:rPr>
        <w:t>study the benefit of UE’s recommendation of</w:t>
      </w:r>
      <w:r w:rsidRPr="00C74BBC">
        <w:rPr>
          <w:b/>
          <w:bCs/>
          <w:sz w:val="20"/>
          <w:szCs w:val="20"/>
        </w:rPr>
        <w:t xml:space="preserve"> a HARQ redundancy version sequence to the </w:t>
      </w:r>
      <w:proofErr w:type="spellStart"/>
      <w:r w:rsidRPr="00C74BBC">
        <w:rPr>
          <w:b/>
          <w:bCs/>
          <w:sz w:val="20"/>
          <w:szCs w:val="20"/>
        </w:rPr>
        <w:t>gNB</w:t>
      </w:r>
      <w:proofErr w:type="spellEnd"/>
      <w:r w:rsidRPr="00C74BBC">
        <w:rPr>
          <w:b/>
          <w:bCs/>
          <w:sz w:val="20"/>
          <w:szCs w:val="20"/>
        </w:rPr>
        <w:t xml:space="preserve">: </w:t>
      </w:r>
    </w:p>
    <w:p w14:paraId="693DE68D" w14:textId="77777777" w:rsidR="002E2FF6" w:rsidRPr="00C74BBC" w:rsidRDefault="002E2FF6" w:rsidP="002E2FF6">
      <w:pPr>
        <w:rPr>
          <w:b/>
          <w:bCs/>
          <w:sz w:val="20"/>
          <w:szCs w:val="20"/>
        </w:rPr>
      </w:pPr>
      <w:r w:rsidRPr="00C74BBC">
        <w:rPr>
          <w:b/>
          <w:bCs/>
          <w:sz w:val="20"/>
          <w:szCs w:val="20"/>
        </w:rPr>
        <w:tab/>
        <w:t xml:space="preserve">If the UE receives the transport block correctly, </w:t>
      </w:r>
    </w:p>
    <w:p w14:paraId="06C2A444" w14:textId="77777777" w:rsidR="002E2FF6" w:rsidRPr="00C74BBC" w:rsidRDefault="002E2FF6" w:rsidP="002E2FF6">
      <w:pPr>
        <w:ind w:left="720" w:firstLine="720"/>
        <w:rPr>
          <w:b/>
          <w:bCs/>
          <w:sz w:val="20"/>
          <w:szCs w:val="20"/>
        </w:rPr>
      </w:pPr>
      <w:r w:rsidRPr="00C74BBC">
        <w:rPr>
          <w:b/>
          <w:bCs/>
          <w:sz w:val="20"/>
          <w:szCs w:val="20"/>
        </w:rPr>
        <w:t>the UE feeds back “ACK</w:t>
      </w:r>
      <w:proofErr w:type="gramStart"/>
      <w:r w:rsidRPr="00C74BBC">
        <w:rPr>
          <w:b/>
          <w:bCs/>
          <w:sz w:val="20"/>
          <w:szCs w:val="20"/>
        </w:rPr>
        <w:t>”;</w:t>
      </w:r>
      <w:proofErr w:type="gramEnd"/>
      <w:r w:rsidRPr="00C74BBC">
        <w:rPr>
          <w:b/>
          <w:bCs/>
          <w:sz w:val="20"/>
          <w:szCs w:val="20"/>
        </w:rPr>
        <w:t xml:space="preserve"> </w:t>
      </w:r>
    </w:p>
    <w:p w14:paraId="74246D89" w14:textId="77777777" w:rsidR="002E2FF6" w:rsidRPr="00C74BBC" w:rsidRDefault="002E2FF6" w:rsidP="002E2FF6">
      <w:pPr>
        <w:rPr>
          <w:b/>
          <w:bCs/>
          <w:sz w:val="20"/>
          <w:szCs w:val="20"/>
        </w:rPr>
      </w:pPr>
      <w:r w:rsidRPr="00C74BBC">
        <w:rPr>
          <w:b/>
          <w:bCs/>
          <w:sz w:val="20"/>
          <w:szCs w:val="20"/>
        </w:rPr>
        <w:tab/>
        <w:t>Else the UE feeds back a HARQ redundancy version sequence</w:t>
      </w:r>
      <w:r>
        <w:rPr>
          <w:b/>
          <w:bCs/>
          <w:sz w:val="20"/>
          <w:szCs w:val="20"/>
        </w:rPr>
        <w:t xml:space="preserve"> </w:t>
      </w:r>
      <w:r w:rsidRPr="00C74BBC">
        <w:rPr>
          <w:b/>
          <w:bCs/>
          <w:sz w:val="20"/>
          <w:szCs w:val="20"/>
        </w:rPr>
        <w:t xml:space="preserve"> </w:t>
      </w:r>
      <w:r>
        <w:rPr>
          <w:b/>
          <w:bCs/>
          <w:sz w:val="20"/>
          <w:szCs w:val="20"/>
        </w:rPr>
        <w:t xml:space="preserve"> which</w:t>
      </w:r>
      <w:r w:rsidRPr="00C74BBC">
        <w:rPr>
          <w:b/>
          <w:bCs/>
          <w:sz w:val="20"/>
          <w:szCs w:val="20"/>
        </w:rPr>
        <w:t xml:space="preserve"> can be indicated by assuming read-out over a basic redundancy version sequence say [0 2 3 1] with a starting version and </w:t>
      </w:r>
      <w:r>
        <w:rPr>
          <w:b/>
          <w:bCs/>
          <w:sz w:val="20"/>
          <w:szCs w:val="20"/>
        </w:rPr>
        <w:t xml:space="preserve">a </w:t>
      </w:r>
      <w:r w:rsidRPr="00C74BBC">
        <w:rPr>
          <w:b/>
          <w:bCs/>
          <w:sz w:val="20"/>
          <w:szCs w:val="20"/>
        </w:rPr>
        <w:t>length</w:t>
      </w:r>
      <w:r>
        <w:rPr>
          <w:b/>
          <w:b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rv</m:t>
            </m:r>
          </m:sub>
        </m:sSub>
        <m:r>
          <w:rPr>
            <w:rFonts w:ascii="Cambria Math" w:hAnsi="Cambria Math"/>
            <w:sz w:val="20"/>
            <w:szCs w:val="20"/>
          </w:rPr>
          <m:t xml:space="preserve">  </m:t>
        </m:r>
      </m:oMath>
      <w:r>
        <w:rPr>
          <w:b/>
          <w:bCs/>
          <w:sz w:val="20"/>
          <w:szCs w:val="20"/>
        </w:rPr>
        <w:t xml:space="preserve">.  </w:t>
      </w:r>
    </w:p>
    <w:p w14:paraId="348B20C0" w14:textId="77777777" w:rsidR="002E2FF6" w:rsidRDefault="002E2FF6" w:rsidP="002E2FF6">
      <w:pPr>
        <w:jc w:val="both"/>
        <w:rPr>
          <w:sz w:val="20"/>
          <w:szCs w:val="20"/>
        </w:rPr>
      </w:pPr>
      <w:r>
        <w:rPr>
          <w:sz w:val="20"/>
          <w:szCs w:val="20"/>
        </w:rPr>
        <w:t xml:space="preserve"> </w:t>
      </w:r>
    </w:p>
    <w:p w14:paraId="58742284" w14:textId="77777777" w:rsidR="002E2FF6" w:rsidRPr="0027699A" w:rsidRDefault="002E2FF6" w:rsidP="002E2FF6">
      <w:pPr>
        <w:jc w:val="both"/>
        <w:rPr>
          <w:sz w:val="20"/>
          <w:szCs w:val="20"/>
        </w:rPr>
      </w:pPr>
    </w:p>
    <w:p w14:paraId="0B3BCF5C" w14:textId="77777777" w:rsidR="00FA3CEE" w:rsidRDefault="00FA3CEE" w:rsidP="00FA3CEE">
      <w:pPr>
        <w:rPr>
          <w:b/>
          <w:bCs/>
          <w:sz w:val="20"/>
          <w:szCs w:val="20"/>
        </w:rPr>
      </w:pPr>
      <w:r w:rsidRPr="005519AD">
        <w:rPr>
          <w:b/>
          <w:bCs/>
          <w:sz w:val="20"/>
          <w:szCs w:val="20"/>
        </w:rPr>
        <w:t xml:space="preserve">Observation: If separate trigger state lists are introduced for DL DCIs and UL </w:t>
      </w:r>
      <w:proofErr w:type="gramStart"/>
      <w:r w:rsidRPr="005519AD">
        <w:rPr>
          <w:b/>
          <w:bCs/>
          <w:sz w:val="20"/>
          <w:szCs w:val="20"/>
        </w:rPr>
        <w:t>DCIs,  the</w:t>
      </w:r>
      <w:proofErr w:type="gramEnd"/>
      <w:r w:rsidRPr="005519AD">
        <w:rPr>
          <w:b/>
          <w:bCs/>
          <w:sz w:val="20"/>
          <w:szCs w:val="20"/>
        </w:rPr>
        <w:t xml:space="preserv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w:t>
      </w:r>
      <w:proofErr w:type="gramStart"/>
      <w:r>
        <w:rPr>
          <w:b/>
          <w:bCs/>
          <w:sz w:val="20"/>
          <w:szCs w:val="20"/>
        </w:rPr>
        <w:t>Alternatively</w:t>
      </w:r>
      <w:proofErr w:type="gramEnd"/>
      <w:r>
        <w:rPr>
          <w:b/>
          <w:bCs/>
          <w:sz w:val="20"/>
          <w:szCs w:val="20"/>
        </w:rPr>
        <w:t xml:space="preserve"> the total number of trigger states associated with DL DCIs is limited to X (X is FFS), and X is a UE capability.</w:t>
      </w:r>
    </w:p>
    <w:p w14:paraId="5DFD77DB" w14:textId="77777777" w:rsidR="002E2FF6" w:rsidRPr="0031052E" w:rsidRDefault="002E2FF6" w:rsidP="002E2FF6">
      <w:pPr>
        <w:jc w:val="both"/>
        <w:rPr>
          <w:b/>
          <w:bCs/>
          <w:sz w:val="20"/>
          <w:szCs w:val="20"/>
        </w:rPr>
      </w:pPr>
    </w:p>
    <w:p w14:paraId="5FEBE2F3" w14:textId="77777777" w:rsidR="002E2FF6" w:rsidRDefault="002E2FF6" w:rsidP="002E2FF6">
      <w:pPr>
        <w:pStyle w:val="Heading1"/>
        <w:tabs>
          <w:tab w:val="num" w:pos="432"/>
        </w:tabs>
      </w:pPr>
      <w:r>
        <w:t>References</w:t>
      </w:r>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0"/>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1"/>
    </w:p>
    <w:p w14:paraId="18240258"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1"/>
          <w:szCs w:val="21"/>
          <w:lang w:val="en-GB"/>
        </w:rPr>
      </w:pPr>
      <w:bookmarkStart w:id="2" w:name="_Ref47692357"/>
      <w:r w:rsidRPr="001A7E77">
        <w:rPr>
          <w:sz w:val="21"/>
          <w:szCs w:val="21"/>
          <w:lang w:val="en-GB"/>
        </w:rPr>
        <w:t>R1-2006515, “CSI feedback enhancements for URLLC”, Apple, RAN1 #102-e, August 2020.</w:t>
      </w:r>
      <w:bookmarkEnd w:id="2"/>
    </w:p>
    <w:p w14:paraId="387A9EDE" w14:textId="77777777" w:rsidR="002E2FF6" w:rsidRDefault="002E2FF6" w:rsidP="002E2FF6"/>
    <w:p w14:paraId="2927EB6B" w14:textId="77777777" w:rsidR="0030790F" w:rsidRDefault="0030790F"/>
    <w:sectPr w:rsidR="0030790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36340" w14:textId="77777777" w:rsidR="00EF7D64" w:rsidRDefault="00EF7D64">
      <w:r>
        <w:separator/>
      </w:r>
    </w:p>
  </w:endnote>
  <w:endnote w:type="continuationSeparator" w:id="0">
    <w:p w14:paraId="56B53569" w14:textId="77777777" w:rsidR="00EF7D64" w:rsidRDefault="00EF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5F3A27" w:rsidRDefault="002E2F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62C14" w14:textId="77777777" w:rsidR="00EF7D64" w:rsidRDefault="00EF7D64">
      <w:r>
        <w:separator/>
      </w:r>
    </w:p>
  </w:footnote>
  <w:footnote w:type="continuationSeparator" w:id="0">
    <w:p w14:paraId="39E9A62B" w14:textId="77777777" w:rsidR="00EF7D64" w:rsidRDefault="00EF7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7C330A"/>
    <w:multiLevelType w:val="hybridMultilevel"/>
    <w:tmpl w:val="A1D2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0"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845C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6"/>
  </w:num>
  <w:num w:numId="3">
    <w:abstractNumId w:val="8"/>
  </w:num>
  <w:num w:numId="4">
    <w:abstractNumId w:val="4"/>
  </w:num>
  <w:num w:numId="5">
    <w:abstractNumId w:val="9"/>
  </w:num>
  <w:num w:numId="6">
    <w:abstractNumId w:val="1"/>
  </w:num>
  <w:num w:numId="7">
    <w:abstractNumId w:val="10"/>
  </w:num>
  <w:num w:numId="8">
    <w:abstractNumId w:val="7"/>
  </w:num>
  <w:num w:numId="9">
    <w:abstractNumId w:val="0"/>
  </w:num>
  <w:num w:numId="10">
    <w:abstractNumId w:val="2"/>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361B5"/>
    <w:rsid w:val="000E7463"/>
    <w:rsid w:val="001063F5"/>
    <w:rsid w:val="0012378A"/>
    <w:rsid w:val="00164460"/>
    <w:rsid w:val="001904AA"/>
    <w:rsid w:val="00193082"/>
    <w:rsid w:val="001C1C89"/>
    <w:rsid w:val="001C6737"/>
    <w:rsid w:val="001D62F8"/>
    <w:rsid w:val="00256D5F"/>
    <w:rsid w:val="00272617"/>
    <w:rsid w:val="002874CF"/>
    <w:rsid w:val="002E2FF6"/>
    <w:rsid w:val="002E4719"/>
    <w:rsid w:val="002F44AD"/>
    <w:rsid w:val="0030790F"/>
    <w:rsid w:val="00310DC6"/>
    <w:rsid w:val="003501AB"/>
    <w:rsid w:val="00366E15"/>
    <w:rsid w:val="003729B6"/>
    <w:rsid w:val="004006B3"/>
    <w:rsid w:val="004603A9"/>
    <w:rsid w:val="00503199"/>
    <w:rsid w:val="00536CAC"/>
    <w:rsid w:val="005B0B22"/>
    <w:rsid w:val="005C5920"/>
    <w:rsid w:val="00632F77"/>
    <w:rsid w:val="00644C3A"/>
    <w:rsid w:val="006626E3"/>
    <w:rsid w:val="00783EEF"/>
    <w:rsid w:val="007A58F9"/>
    <w:rsid w:val="007E61EB"/>
    <w:rsid w:val="0080066E"/>
    <w:rsid w:val="00857159"/>
    <w:rsid w:val="008747B9"/>
    <w:rsid w:val="009C4D26"/>
    <w:rsid w:val="00A04F86"/>
    <w:rsid w:val="00A67DE5"/>
    <w:rsid w:val="00A96BC4"/>
    <w:rsid w:val="00AA0FDC"/>
    <w:rsid w:val="00B86F49"/>
    <w:rsid w:val="00CE3881"/>
    <w:rsid w:val="00D310FD"/>
    <w:rsid w:val="00E400CE"/>
    <w:rsid w:val="00E7751F"/>
    <w:rsid w:val="00EF7D64"/>
    <w:rsid w:val="00F30E80"/>
    <w:rsid w:val="00FA3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E3"/>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9C4D26"/>
    <w:pPr>
      <w:keepNext/>
      <w:keepLines/>
      <w:numPr>
        <w:ilvl w:val="2"/>
        <w:numId w:val="11"/>
      </w:numPr>
      <w:spacing w:before="40"/>
      <w:outlineLvl w:val="2"/>
    </w:pPr>
    <w:rPr>
      <w:rFonts w:asciiTheme="majorHAnsi" w:eastAsiaTheme="majorEastAsia" w:hAnsiTheme="majorHAnsi" w:cstheme="majorBidi"/>
      <w:color w:val="1F3763" w:themeColor="accent1" w:themeShade="7F"/>
      <w:lang w:eastAsia="zh-CN"/>
    </w:rPr>
  </w:style>
  <w:style w:type="paragraph" w:styleId="Heading4">
    <w:name w:val="heading 4"/>
    <w:basedOn w:val="Normal"/>
    <w:next w:val="Normal"/>
    <w:link w:val="Heading4Char"/>
    <w:uiPriority w:val="9"/>
    <w:semiHidden/>
    <w:unhideWhenUsed/>
    <w:qFormat/>
    <w:rsid w:val="009C4D26"/>
    <w:pPr>
      <w:keepNext/>
      <w:keepLines/>
      <w:numPr>
        <w:ilvl w:val="3"/>
        <w:numId w:val="1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C4D26"/>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C4D26"/>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C4D26"/>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C4D26"/>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4D26"/>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rFonts w:eastAsia="Malgun Gothic"/>
      <w:b/>
      <w:bCs/>
      <w:lang w:eastAsia="zh-CN"/>
    </w:rPr>
  </w:style>
  <w:style w:type="paragraph" w:customStyle="1" w:styleId="3GPPHeader">
    <w:name w:val="3GPP_Header"/>
    <w:basedOn w:val="Normal"/>
    <w:rsid w:val="002E2FF6"/>
    <w:pPr>
      <w:tabs>
        <w:tab w:val="left" w:pos="1701"/>
        <w:tab w:val="right" w:pos="9639"/>
      </w:tabs>
      <w:spacing w:after="240"/>
    </w:pPr>
    <w:rPr>
      <w:rFonts w:eastAsia="Malgun Gothic"/>
      <w:b/>
      <w:lang w:eastAsia="zh-CN"/>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rPr>
      <w:rFonts w:eastAsia="Malgun Gothic"/>
      <w:lang w:eastAsia="zh-CN"/>
    </w:r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2E4719"/>
    <w:rPr>
      <w:sz w:val="18"/>
      <w:szCs w:val="18"/>
    </w:rPr>
  </w:style>
  <w:style w:type="character" w:customStyle="1" w:styleId="BalloonTextChar">
    <w:name w:val="Balloon Text Char"/>
    <w:basedOn w:val="DefaultParagraphFont"/>
    <w:link w:val="BalloonText"/>
    <w:uiPriority w:val="99"/>
    <w:semiHidden/>
    <w:rsid w:val="002E4719"/>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9C4D26"/>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9C4D26"/>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9C4D26"/>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9C4D26"/>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9C4D26"/>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9C4D26"/>
    <w:rPr>
      <w:rFonts w:asciiTheme="majorHAnsi" w:eastAsiaTheme="majorEastAsia" w:hAnsiTheme="majorHAnsi" w:cstheme="majorBidi"/>
      <w:i/>
      <w:iCs/>
      <w:color w:val="272727" w:themeColor="text1" w:themeTint="D8"/>
      <w:sz w:val="21"/>
      <w:szCs w:val="21"/>
      <w:lang w:eastAsia="zh-CN"/>
    </w:rPr>
  </w:style>
  <w:style w:type="character" w:styleId="Hyperlink">
    <w:name w:val="Hyperlink"/>
    <w:basedOn w:val="DefaultParagraphFont"/>
    <w:uiPriority w:val="99"/>
    <w:unhideWhenUsed/>
    <w:rsid w:val="00CE3881"/>
    <w:rPr>
      <w:color w:val="0563C1" w:themeColor="hyperlink"/>
      <w:u w:val="single"/>
    </w:rPr>
  </w:style>
  <w:style w:type="character" w:styleId="UnresolvedMention">
    <w:name w:val="Unresolved Mention"/>
    <w:basedOn w:val="DefaultParagraphFont"/>
    <w:uiPriority w:val="99"/>
    <w:semiHidden/>
    <w:unhideWhenUsed/>
    <w:rsid w:val="00CE3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806230">
      <w:bodyDiv w:val="1"/>
      <w:marLeft w:val="0"/>
      <w:marRight w:val="0"/>
      <w:marTop w:val="0"/>
      <w:marBottom w:val="0"/>
      <w:divBdr>
        <w:top w:val="none" w:sz="0" w:space="0" w:color="auto"/>
        <w:left w:val="none" w:sz="0" w:space="0" w:color="auto"/>
        <w:bottom w:val="none" w:sz="0" w:space="0" w:color="auto"/>
        <w:right w:val="none" w:sz="0" w:space="0" w:color="auto"/>
      </w:divBdr>
    </w:div>
    <w:div w:id="899947939">
      <w:bodyDiv w:val="1"/>
      <w:marLeft w:val="0"/>
      <w:marRight w:val="0"/>
      <w:marTop w:val="0"/>
      <w:marBottom w:val="0"/>
      <w:divBdr>
        <w:top w:val="none" w:sz="0" w:space="0" w:color="auto"/>
        <w:left w:val="none" w:sz="0" w:space="0" w:color="auto"/>
        <w:bottom w:val="none" w:sz="0" w:space="0" w:color="auto"/>
        <w:right w:val="none" w:sz="0" w:space="0" w:color="auto"/>
      </w:divBdr>
    </w:div>
    <w:div w:id="1234464140">
      <w:bodyDiv w:val="1"/>
      <w:marLeft w:val="0"/>
      <w:marRight w:val="0"/>
      <w:marTop w:val="0"/>
      <w:marBottom w:val="0"/>
      <w:divBdr>
        <w:top w:val="none" w:sz="0" w:space="0" w:color="auto"/>
        <w:left w:val="none" w:sz="0" w:space="0" w:color="auto"/>
        <w:bottom w:val="none" w:sz="0" w:space="0" w:color="auto"/>
        <w:right w:val="none" w:sz="0" w:space="0" w:color="auto"/>
      </w:divBdr>
    </w:div>
    <w:div w:id="19036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2020-11-29T20:26:00Z</dcterms:created>
  <dcterms:modified xsi:type="dcterms:W3CDTF">2020-11-29T20:26:00Z</dcterms:modified>
</cp:coreProperties>
</file>